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69" w:rsidRPr="009543A0" w:rsidRDefault="00E03969" w:rsidP="00E03969">
      <w:pPr>
        <w:spacing w:after="0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43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:rsidR="00E03969" w:rsidRPr="009543A0" w:rsidRDefault="00E03969" w:rsidP="00E0396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43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виконавчого комітету</w:t>
      </w:r>
    </w:p>
    <w:p w:rsidR="00E03969" w:rsidRPr="009543A0" w:rsidRDefault="00E03969" w:rsidP="00E0396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15.10.2025р. №784/</w:t>
      </w:r>
      <w:r w:rsidRPr="00155118">
        <w:rPr>
          <w:rFonts w:ascii="Times New Roman" w:hAnsi="Times New Roman" w:cs="Times New Roman"/>
          <w:sz w:val="24"/>
          <w:szCs w:val="24"/>
          <w:lang w:val="uk-UA"/>
        </w:rPr>
        <w:t>0/6-2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bookmarkStart w:id="0" w:name="_GoBack"/>
      <w:bookmarkEnd w:id="0"/>
    </w:p>
    <w:p w:rsidR="00E03969" w:rsidRDefault="00E03969" w:rsidP="00E03969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3969" w:rsidRDefault="00E03969" w:rsidP="00E03969">
      <w:pPr>
        <w:spacing w:after="160" w:line="25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554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Середньостроковий план пріоритетних публічних інвестицій Новомосковської міської територіальної громади на 2026-2028 роки</w:t>
      </w:r>
    </w:p>
    <w:p w:rsidR="00E03969" w:rsidRPr="00994F86" w:rsidRDefault="00E03969" w:rsidP="00E03969">
      <w:pPr>
        <w:spacing w:after="160" w:line="25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94F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Загальна частина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9FE">
        <w:rPr>
          <w:rFonts w:ascii="Times New Roman" w:hAnsi="Times New Roman" w:cs="Times New Roman"/>
          <w:sz w:val="28"/>
          <w:szCs w:val="28"/>
          <w:lang w:val="uk-UA"/>
        </w:rPr>
        <w:t xml:space="preserve">Середньостроковий план пріоритетних публічних інвестицій (далі - середньостроковий план) розроблено відповідно до абзацу другого частини третьої статті </w:t>
      </w:r>
      <w:r w:rsidRPr="006626C3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33</w:t>
      </w:r>
      <w:r w:rsidRPr="006626C3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статті </w:t>
      </w:r>
      <w:r w:rsidRPr="00DC1473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75</w:t>
      </w:r>
      <w:r w:rsidRPr="00DC1473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  <w:lang w:val="uk-UA"/>
        </w:rPr>
        <w:t>2</w:t>
      </w:r>
      <w:r w:rsidRPr="00DC1473">
        <w:rPr>
          <w:rFonts w:ascii="Times New Roman" w:hAnsi="Times New Roman" w:hint="eastAsia"/>
          <w:sz w:val="28"/>
          <w:szCs w:val="28"/>
          <w:lang w:val="uk-UA"/>
        </w:rPr>
        <w:t xml:space="preserve"> </w:t>
      </w:r>
      <w:r w:rsidRPr="00F079FE">
        <w:rPr>
          <w:rFonts w:ascii="Times New Roman" w:hAnsi="Times New Roman" w:cs="Times New Roman"/>
          <w:sz w:val="28"/>
          <w:szCs w:val="28"/>
          <w:lang w:val="uk-UA"/>
        </w:rPr>
        <w:t>Бюджетного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2C00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Порядку розроблення і моніторингу реалізації середньострокового плану, затвердженого постановою Кабінету Міністрів України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</w:t>
      </w:r>
      <w:r w:rsidRPr="002C00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28 лютого 2025 року 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C00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294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C003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F079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1473">
        <w:rPr>
          <w:rFonts w:ascii="Times New Roman" w:hAnsi="Times New Roman" w:cs="Times New Roman"/>
          <w:sz w:val="28"/>
          <w:szCs w:val="28"/>
          <w:lang w:val="uk-UA"/>
        </w:rPr>
        <w:t>Порядку розроблення та моніторингу реалізації середньострокового плану пріоритетних публічних інвестицій Новомосковської міської територіальної громади, затвердженого рішенням виконавчого комітету Самарівської міської ради від 31 липня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1473">
        <w:rPr>
          <w:rFonts w:ascii="Times New Roman" w:hAnsi="Times New Roman" w:cs="Times New Roman"/>
          <w:sz w:val="28"/>
          <w:szCs w:val="28"/>
          <w:lang w:val="uk-UA"/>
        </w:rPr>
        <w:t>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C1473">
        <w:rPr>
          <w:rFonts w:ascii="Times New Roman" w:hAnsi="Times New Roman" w:cs="Times New Roman"/>
          <w:sz w:val="28"/>
          <w:szCs w:val="28"/>
          <w:lang w:val="uk-UA"/>
        </w:rPr>
        <w:t xml:space="preserve"> № 551/0/6-25.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904">
        <w:rPr>
          <w:rFonts w:ascii="Times New Roman" w:hAnsi="Times New Roman" w:cs="Times New Roman"/>
          <w:sz w:val="28"/>
          <w:szCs w:val="28"/>
          <w:lang w:val="uk-UA"/>
        </w:rPr>
        <w:t xml:space="preserve">Середньостроковий план формує основу для побудови ефективної та дієвої системи управління публічними інвестиціями, що забезпечує оптимізацію використання бюджетних ресурсів, підвищення прозорості у використанні публічних коштів та інтеграцію публічних інвестицій у загальний процес стратегічного планування, а також дозволяє зосередити ресурси на найбільш важливих для суспільства публічних інвестиційних </w:t>
      </w:r>
      <w:proofErr w:type="spellStart"/>
      <w:r w:rsidRPr="00973904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73904">
        <w:rPr>
          <w:rFonts w:ascii="Times New Roman" w:hAnsi="Times New Roman" w:cs="Times New Roman"/>
          <w:sz w:val="28"/>
          <w:szCs w:val="28"/>
          <w:lang w:val="uk-UA"/>
        </w:rPr>
        <w:t>ктах</w:t>
      </w:r>
      <w:proofErr w:type="spellEnd"/>
      <w:r w:rsidRPr="00973904">
        <w:rPr>
          <w:rFonts w:ascii="Times New Roman" w:hAnsi="Times New Roman" w:cs="Times New Roman"/>
          <w:sz w:val="28"/>
          <w:szCs w:val="28"/>
          <w:lang w:val="uk-UA"/>
        </w:rPr>
        <w:t xml:space="preserve"> (далі -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73904">
        <w:rPr>
          <w:rFonts w:ascii="Times New Roman" w:hAnsi="Times New Roman" w:cs="Times New Roman"/>
          <w:sz w:val="28"/>
          <w:szCs w:val="28"/>
          <w:lang w:val="uk-UA"/>
        </w:rPr>
        <w:t xml:space="preserve">кт) та програмах публічних інвестицій (далі - програма). 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0454">
        <w:rPr>
          <w:rFonts w:ascii="Times New Roman" w:hAnsi="Times New Roman" w:cs="Times New Roman"/>
          <w:sz w:val="28"/>
          <w:szCs w:val="28"/>
          <w:lang w:val="uk-UA"/>
        </w:rPr>
        <w:t>Середньостроковий план визначає: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454">
        <w:rPr>
          <w:rFonts w:ascii="Times New Roman" w:hAnsi="Times New Roman" w:cs="Times New Roman"/>
          <w:sz w:val="28"/>
          <w:szCs w:val="28"/>
          <w:lang w:val="uk-UA"/>
        </w:rPr>
        <w:t xml:space="preserve"> - наскрізні стратегічні цілі здійснення публічних інвестицій; 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454">
        <w:rPr>
          <w:rFonts w:ascii="Times New Roman" w:hAnsi="Times New Roman" w:cs="Times New Roman"/>
          <w:sz w:val="28"/>
          <w:szCs w:val="28"/>
          <w:lang w:val="uk-UA"/>
        </w:rPr>
        <w:t xml:space="preserve">- пріоритетні галузі (сектори) для публічного інвестування; 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454">
        <w:rPr>
          <w:rFonts w:ascii="Times New Roman" w:hAnsi="Times New Roman" w:cs="Times New Roman"/>
          <w:sz w:val="28"/>
          <w:szCs w:val="28"/>
          <w:lang w:val="uk-UA"/>
        </w:rPr>
        <w:t xml:space="preserve">- основні напрями публічного інвестування, у тому числі за діючими проєктами та програмами, цільові показники цих напрямів </w:t>
      </w:r>
      <w:r w:rsidRPr="006626C3">
        <w:rPr>
          <w:rFonts w:ascii="Times New Roman" w:hAnsi="Times New Roman" w:cs="Times New Roman"/>
          <w:sz w:val="28"/>
          <w:szCs w:val="28"/>
          <w:lang w:val="uk-UA"/>
        </w:rPr>
        <w:t>в розрізі сфер державної політики, регіонів і відповідний орієнтовний розподіл коштів за рахунок різних джерел фінансування;</w:t>
      </w:r>
      <w:r w:rsidRPr="000004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45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000454">
        <w:rPr>
          <w:rFonts w:ascii="Times New Roman" w:hAnsi="Times New Roman" w:cs="Times New Roman"/>
          <w:sz w:val="28"/>
          <w:szCs w:val="28"/>
          <w:lang w:val="uk-UA"/>
        </w:rPr>
        <w:t>підсектори</w:t>
      </w:r>
      <w:proofErr w:type="spellEnd"/>
      <w:r w:rsidRPr="00000454">
        <w:rPr>
          <w:rFonts w:ascii="Times New Roman" w:hAnsi="Times New Roman" w:cs="Times New Roman"/>
          <w:sz w:val="28"/>
          <w:szCs w:val="28"/>
          <w:lang w:val="uk-UA"/>
        </w:rPr>
        <w:t xml:space="preserve"> галузей (секторів) для публічного інвестування. </w:t>
      </w:r>
    </w:p>
    <w:p w:rsidR="00E03969" w:rsidRPr="00B91E9E" w:rsidRDefault="00E03969" w:rsidP="00E03969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7E3411">
        <w:rPr>
          <w:rFonts w:ascii="Times New Roman" w:hAnsi="Times New Roman" w:cs="Times New Roman"/>
          <w:sz w:val="28"/>
          <w:szCs w:val="28"/>
        </w:rPr>
        <w:t xml:space="preserve">Сфера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середньострокового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публічні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інвестиції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кті</w:t>
      </w:r>
      <w:proofErr w:type="gramStart"/>
      <w:r w:rsidRPr="007E341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E34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>.</w:t>
      </w:r>
      <w:r w:rsidRPr="00B91E9E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Водночас не охоплює компенсації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України, а також гранти, програми підтримки бізнесу, фінансування від міжнародних фінансових організацій для приватного сектора та інші інструменти і форми підтримки </w:t>
      </w:r>
      <w:r w:rsidRPr="00B91E9E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lastRenderedPageBreak/>
        <w:t>бізнесу та громадян, які не є публічними інвестиціями у розумінні Бюджетного кодексу України.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1E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3969" w:rsidRPr="007E3411" w:rsidRDefault="00E03969" w:rsidP="00E03969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3E17">
        <w:rPr>
          <w:rFonts w:ascii="Times New Roman" w:hAnsi="Times New Roman" w:cs="Times New Roman"/>
          <w:sz w:val="28"/>
          <w:szCs w:val="28"/>
          <w:lang w:val="uk-UA"/>
        </w:rPr>
        <w:t>Описова частина</w:t>
      </w:r>
    </w:p>
    <w:p w:rsidR="00E03969" w:rsidRPr="007E3411" w:rsidRDefault="00E03969" w:rsidP="00E0396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454">
        <w:rPr>
          <w:rFonts w:ascii="Times New Roman" w:hAnsi="Times New Roman" w:cs="Times New Roman"/>
          <w:sz w:val="28"/>
          <w:szCs w:val="28"/>
          <w:lang w:val="uk-UA"/>
        </w:rPr>
        <w:t xml:space="preserve">Середньостроковий план розроблено на підставі пропозицій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00454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труктурни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х підрозділів</w:t>
      </w:r>
      <w:r w:rsidRPr="00000454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 Самарівської міської ради та її виконавчого комітету, </w:t>
      </w:r>
      <w:r w:rsidRPr="00000454">
        <w:rPr>
          <w:rFonts w:ascii="Times New Roman" w:hAnsi="Times New Roman"/>
          <w:sz w:val="28"/>
          <w:szCs w:val="28"/>
          <w:lang w:val="uk-UA"/>
        </w:rPr>
        <w:t>установ, організаці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000454">
        <w:rPr>
          <w:rFonts w:ascii="Times New Roman" w:hAnsi="Times New Roman"/>
          <w:sz w:val="28"/>
          <w:szCs w:val="28"/>
          <w:lang w:val="uk-UA"/>
        </w:rPr>
        <w:t>, заклад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000454">
        <w:rPr>
          <w:rFonts w:ascii="Times New Roman" w:hAnsi="Times New Roman"/>
          <w:sz w:val="28"/>
          <w:szCs w:val="28"/>
          <w:lang w:val="uk-UA"/>
        </w:rPr>
        <w:t>, підприємст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000454">
        <w:rPr>
          <w:rFonts w:ascii="Times New Roman" w:hAnsi="Times New Roman"/>
          <w:sz w:val="28"/>
          <w:szCs w:val="28"/>
          <w:lang w:val="uk-UA"/>
        </w:rPr>
        <w:t xml:space="preserve"> комунальної форми власності</w:t>
      </w:r>
      <w:r w:rsidRPr="0000045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цілей і завдань, визначених документами стратегічного планування, у межах орієнтовного граничного сукупного обсягу публічних інвестицій на середньостроковий період, доведеного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фінансовим управлінням Самарівської міської ради</w:t>
      </w:r>
      <w:r w:rsidRPr="0000045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03969" w:rsidRPr="007E3411" w:rsidRDefault="00E03969" w:rsidP="00E03969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3411">
        <w:rPr>
          <w:rFonts w:ascii="Times New Roman" w:hAnsi="Times New Roman" w:cs="Times New Roman"/>
          <w:sz w:val="28"/>
          <w:szCs w:val="28"/>
          <w:lang w:val="uk-UA"/>
        </w:rPr>
        <w:t>Наскрізні стратегічні цілі здійснення публічних інвестицій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411">
        <w:rPr>
          <w:rFonts w:ascii="Times New Roman" w:hAnsi="Times New Roman" w:cs="Times New Roman"/>
          <w:sz w:val="28"/>
          <w:szCs w:val="28"/>
          <w:lang w:val="uk-UA"/>
        </w:rPr>
        <w:t>Наскрізними стратегічними цілями здійснення публічних інвестицій (далі - наскрізні стратегічні цілі) є цілі, що мають міжгалузевий (</w:t>
      </w:r>
      <w:proofErr w:type="spellStart"/>
      <w:r w:rsidRPr="007E3411">
        <w:rPr>
          <w:rFonts w:ascii="Times New Roman" w:hAnsi="Times New Roman" w:cs="Times New Roman"/>
          <w:sz w:val="28"/>
          <w:szCs w:val="28"/>
          <w:lang w:val="uk-UA"/>
        </w:rPr>
        <w:t>міжсекторальний</w:t>
      </w:r>
      <w:proofErr w:type="spellEnd"/>
      <w:r w:rsidRPr="007E3411">
        <w:rPr>
          <w:rFonts w:ascii="Times New Roman" w:hAnsi="Times New Roman" w:cs="Times New Roman"/>
          <w:sz w:val="28"/>
          <w:szCs w:val="28"/>
          <w:lang w:val="uk-UA"/>
        </w:rPr>
        <w:t xml:space="preserve">) характер, відповідають національним або глобальним пріоритетам розвитку, для досягнення яких об’єднують зусилля органи влади та фізичні і юридичні особи, громадські об’єднання, інші суб’єкти, які можуть вплинути на процес досягнення цілей та/або на яких можуть вплинути їх результати. </w:t>
      </w:r>
    </w:p>
    <w:p w:rsidR="00E03969" w:rsidRPr="005654B5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4B5">
        <w:rPr>
          <w:rFonts w:ascii="Times New Roman" w:hAnsi="Times New Roman" w:cs="Times New Roman"/>
          <w:sz w:val="28"/>
          <w:szCs w:val="28"/>
          <w:lang w:val="uk-UA"/>
        </w:rPr>
        <w:t xml:space="preserve">На 2026-2028 роки наскрізними стратегічними цілями є енергоефективність, реагування на зміни клімату, гендерна рівність та </w:t>
      </w:r>
      <w:proofErr w:type="spellStart"/>
      <w:r w:rsidRPr="005654B5">
        <w:rPr>
          <w:rFonts w:ascii="Times New Roman" w:hAnsi="Times New Roman" w:cs="Times New Roman"/>
          <w:sz w:val="28"/>
          <w:szCs w:val="28"/>
          <w:lang w:val="uk-UA"/>
        </w:rPr>
        <w:t>безбар’єрність</w:t>
      </w:r>
      <w:proofErr w:type="spellEnd"/>
      <w:r w:rsidRPr="005654B5">
        <w:rPr>
          <w:rFonts w:ascii="Times New Roman" w:hAnsi="Times New Roman" w:cs="Times New Roman"/>
          <w:sz w:val="28"/>
          <w:szCs w:val="28"/>
          <w:lang w:val="uk-UA"/>
        </w:rPr>
        <w:t xml:space="preserve">. Наскрізні стратегічні цілі мають ключове значення для досягнення сталого розвитку та соціальної справедливості в Новомосковській міській територіальній громаді. Їх реалізація передбачає раціональне використання енергоресурсів, впровадження енергоефективних технологій, адаптацію інфраструктури до нових викликів та захисту навколишнього природного середовища, врахування принципів рівності, </w:t>
      </w:r>
      <w:proofErr w:type="spellStart"/>
      <w:r w:rsidRPr="005654B5">
        <w:rPr>
          <w:rFonts w:ascii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5654B5">
        <w:rPr>
          <w:rFonts w:ascii="Times New Roman" w:hAnsi="Times New Roman" w:cs="Times New Roman"/>
          <w:sz w:val="28"/>
          <w:szCs w:val="28"/>
          <w:lang w:val="uk-UA"/>
        </w:rPr>
        <w:t>, доступності для всіх категорій населення, включаючи осіб з інвалідністю, осіб з різними функціональними порушеннями, а також людей похилого віку, незалежно від їх статі та соціального статусу.</w:t>
      </w:r>
    </w:p>
    <w:p w:rsidR="00E03969" w:rsidRPr="005654B5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3969" w:rsidRPr="007E3411" w:rsidRDefault="00E03969" w:rsidP="00E03969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3411">
        <w:rPr>
          <w:rFonts w:ascii="Times New Roman" w:hAnsi="Times New Roman" w:cs="Times New Roman"/>
          <w:sz w:val="28"/>
          <w:szCs w:val="28"/>
          <w:lang w:val="uk-UA"/>
        </w:rPr>
        <w:t>Пріоритетні галузі (сектори) для публічного інвестування</w:t>
      </w:r>
    </w:p>
    <w:p w:rsidR="00E03969" w:rsidRPr="00783606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411">
        <w:rPr>
          <w:rFonts w:ascii="Times New Roman" w:hAnsi="Times New Roman" w:cs="Times New Roman"/>
          <w:sz w:val="28"/>
          <w:szCs w:val="28"/>
          <w:lang w:val="uk-UA"/>
        </w:rPr>
        <w:t xml:space="preserve"> Пріоритетні галузі (сектори) для публічного інвестування, що містяться в середньостроковому плані є ключовими для </w:t>
      </w:r>
      <w:r>
        <w:rPr>
          <w:rFonts w:ascii="Times New Roman" w:hAnsi="Times New Roman" w:cs="Times New Roman"/>
          <w:sz w:val="28"/>
          <w:szCs w:val="28"/>
          <w:lang w:val="uk-UA"/>
        </w:rPr>
        <w:t>Новомосковської міської територіальної громади</w:t>
      </w:r>
      <w:r w:rsidRPr="007E3411">
        <w:rPr>
          <w:rFonts w:ascii="Times New Roman" w:hAnsi="Times New Roman" w:cs="Times New Roman"/>
          <w:sz w:val="28"/>
          <w:szCs w:val="28"/>
          <w:lang w:val="uk-UA"/>
        </w:rPr>
        <w:t xml:space="preserve"> та саме на них спрямовуватимуться публічні інвестиції на середньостроковий період. Пріоритетні галузі (сектори) для публічного інвестування були відібрані, та впорядковані на період дії середньострокового плану, враховуючи потреби, пріоритети та спроможності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Новомосковської міської територіальної громади</w:t>
      </w:r>
      <w:r w:rsidRPr="007E3411">
        <w:rPr>
          <w:rFonts w:ascii="Times New Roman" w:hAnsi="Times New Roman" w:cs="Times New Roman"/>
          <w:sz w:val="28"/>
          <w:szCs w:val="28"/>
          <w:lang w:val="uk-UA"/>
        </w:rPr>
        <w:t xml:space="preserve">, а також вимоги Бюджетного кодексу України щодо спрямування </w:t>
      </w:r>
      <w:r w:rsidRPr="00783606">
        <w:rPr>
          <w:rFonts w:ascii="Times New Roman" w:hAnsi="Times New Roman" w:cs="Times New Roman"/>
          <w:sz w:val="28"/>
          <w:szCs w:val="28"/>
          <w:lang w:val="uk-UA"/>
        </w:rPr>
        <w:t xml:space="preserve">не менше 70 відсотків обсягу публічних інвестицій на продовження (завершення) реалізації розпочатих проєктів та програм. 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D46">
        <w:rPr>
          <w:rFonts w:ascii="Times New Roman" w:hAnsi="Times New Roman" w:cs="Times New Roman"/>
          <w:sz w:val="28"/>
          <w:szCs w:val="28"/>
          <w:lang w:val="uk-UA"/>
        </w:rPr>
        <w:t xml:space="preserve">З метою досягнення стратегічних цілей розвитку громади та забезпечення реалізації завдань спрямованих на відновлення інфраструктури, стимулювання соціально-економічного розвитку і покращення якості життя громадян протягом 2026-2028 років середньостроковим планом пропонується </w:t>
      </w:r>
      <w:r w:rsidRPr="00AB2396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B2396">
        <w:rPr>
          <w:rFonts w:ascii="Times New Roman" w:hAnsi="Times New Roman" w:cs="Times New Roman"/>
          <w:sz w:val="28"/>
          <w:szCs w:val="28"/>
          <w:lang w:val="uk-UA"/>
        </w:rPr>
        <w:t xml:space="preserve"> ключов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AB2396">
        <w:rPr>
          <w:rFonts w:ascii="Times New Roman" w:hAnsi="Times New Roman" w:cs="Times New Roman"/>
          <w:sz w:val="28"/>
          <w:szCs w:val="28"/>
          <w:lang w:val="uk-UA"/>
        </w:rPr>
        <w:t xml:space="preserve"> сектор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AB2396">
        <w:rPr>
          <w:rFonts w:ascii="Times New Roman" w:hAnsi="Times New Roman" w:cs="Times New Roman"/>
          <w:sz w:val="28"/>
          <w:szCs w:val="28"/>
          <w:lang w:val="uk-UA"/>
        </w:rPr>
        <w:t xml:space="preserve"> (галузі) для публічного інвестування.</w:t>
      </w:r>
      <w:r w:rsidRPr="007E3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3969" w:rsidRPr="007E3411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1E3">
        <w:rPr>
          <w:rFonts w:ascii="Times New Roman" w:hAnsi="Times New Roman" w:cs="Times New Roman"/>
          <w:sz w:val="28"/>
          <w:szCs w:val="28"/>
          <w:lang w:val="uk-UA"/>
        </w:rPr>
        <w:t>Сектор (галузь) «Освіта і наука» спрямований на модернізацію закладів освіти, покращення їх інфраструктури, забезпечення якості, безпеки та доступності освіти.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8512C3">
        <w:rPr>
          <w:rFonts w:ascii="Times New Roman" w:hAnsi="Times New Roman" w:cs="Times New Roman"/>
          <w:sz w:val="28"/>
          <w:szCs w:val="28"/>
          <w:lang w:val="uk-UA"/>
        </w:rPr>
        <w:t xml:space="preserve">Сектор (галузь) «Охорона здоров’я» спрямований на </w:t>
      </w:r>
      <w:r w:rsidRPr="0006053B">
        <w:rPr>
          <w:rFonts w:ascii="Times New Roman" w:hAnsi="Times New Roman"/>
          <w:sz w:val="28"/>
          <w:szCs w:val="28"/>
          <w:lang w:val="uk-UA"/>
        </w:rPr>
        <w:t xml:space="preserve">забезпечення доступної, якісної та безоплатної медичної допомоги для кожного жителя Самарівської </w:t>
      </w:r>
      <w:r>
        <w:rPr>
          <w:rFonts w:ascii="Times New Roman" w:hAnsi="Times New Roman"/>
          <w:sz w:val="28"/>
          <w:szCs w:val="28"/>
          <w:lang w:val="uk-UA"/>
        </w:rPr>
        <w:t>міської територіальної громади</w:t>
      </w:r>
      <w:r w:rsidRPr="0006053B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внутрішньо-переміщених осіб з окупованих територій та поранених військових, якими з початку війни опікується лікарня, </w:t>
      </w:r>
      <w:r w:rsidRPr="0006053B">
        <w:rPr>
          <w:rFonts w:ascii="Times New Roman" w:hAnsi="Times New Roman"/>
          <w:sz w:val="28"/>
          <w:szCs w:val="28"/>
          <w:lang w:val="uk-UA"/>
        </w:rPr>
        <w:t xml:space="preserve">а також забезпечення готовності </w:t>
      </w:r>
      <w:r>
        <w:rPr>
          <w:rFonts w:ascii="Times New Roman" w:hAnsi="Times New Roman"/>
          <w:sz w:val="28"/>
          <w:szCs w:val="28"/>
          <w:lang w:val="uk-UA"/>
        </w:rPr>
        <w:t>лікарень</w:t>
      </w:r>
      <w:r w:rsidRPr="0006053B">
        <w:rPr>
          <w:rFonts w:ascii="Times New Roman" w:hAnsi="Times New Roman"/>
          <w:sz w:val="28"/>
          <w:szCs w:val="28"/>
          <w:lang w:val="uk-UA"/>
        </w:rPr>
        <w:t xml:space="preserve"> до реагування на кризові ситуації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03969" w:rsidRDefault="00E03969" w:rsidP="00E0396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6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46656">
        <w:rPr>
          <w:rFonts w:ascii="Times New Roman" w:hAnsi="Times New Roman" w:cs="Times New Roman"/>
          <w:sz w:val="28"/>
          <w:szCs w:val="28"/>
        </w:rPr>
        <w:t xml:space="preserve">Сектор (галузь) «Соціальна сфера» спрямований на </w:t>
      </w:r>
      <w:r w:rsidRPr="00646656">
        <w:rPr>
          <w:rStyle w:val="Bodytext2"/>
          <w:rFonts w:eastAsia="Courier New"/>
          <w:color w:val="auto"/>
          <w:sz w:val="28"/>
          <w:szCs w:val="28"/>
        </w:rPr>
        <w:t>забезпечення соціального захисту та поліпшення житлових умов  для дітей-сиріт, дітей, позбавлених батьківського піклування, які виховуються в багатодітних  сім’ях (дитячих будинків сімейного типу).</w:t>
      </w:r>
      <w:r w:rsidRPr="006466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46656">
        <w:rPr>
          <w:rFonts w:ascii="Times New Roman" w:hAnsi="Times New Roman" w:cs="Times New Roman"/>
          <w:color w:val="auto"/>
          <w:kern w:val="2"/>
          <w:sz w:val="28"/>
          <w:szCs w:val="28"/>
          <w14:ligatures w14:val="standardContextual"/>
        </w:rPr>
        <w:t>Забезпечення соці</w:t>
      </w:r>
      <w:r w:rsidRPr="0064665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ального захисту та поліпшення житлових умов ветеранів війни та осіб з інвалідністю через надання грошової компенсації за належні для отримання жилі приміщення</w:t>
      </w:r>
      <w:r w:rsidRPr="00646656">
        <w:rPr>
          <w:rFonts w:ascii="Times New Roman" w:hAnsi="Times New Roman" w:cs="Times New Roman"/>
          <w:sz w:val="28"/>
          <w:szCs w:val="28"/>
        </w:rPr>
        <w:t>.</w:t>
      </w:r>
    </w:p>
    <w:p w:rsidR="00E03969" w:rsidRDefault="00E03969" w:rsidP="00E03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4B5">
        <w:rPr>
          <w:rFonts w:ascii="Times New Roman" w:hAnsi="Times New Roman" w:cs="Times New Roman"/>
          <w:sz w:val="28"/>
          <w:szCs w:val="28"/>
          <w:lang w:val="uk-UA"/>
        </w:rPr>
        <w:t xml:space="preserve"> Сектор (галузь) «Муніципальна інфраструктура та послуги» спрямований на модернізацію систем водопостачання і водовідведення в населеному пункті, а також підвищення енергоефективності в громадських будівлях. Крім того, публічні інвестиції будуть спрямовані на розбудову та відновлення муніципальної інфраструктури (модернізація вуличного освітлення, капітальний ремонт доріг, шляхопроводів та мостів міста)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3969" w:rsidRDefault="00E03969" w:rsidP="00E03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Сектор (галузь) «Довкілля» передбачено капітальний ремонт з благоустрою та очищення русла річки Самара в районі острова Молодіжний.</w:t>
      </w:r>
    </w:p>
    <w:p w:rsidR="00E03969" w:rsidRDefault="00E03969" w:rsidP="00E03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7C">
        <w:rPr>
          <w:rFonts w:ascii="Times New Roman" w:hAnsi="Times New Roman" w:cs="Times New Roman"/>
          <w:sz w:val="28"/>
          <w:szCs w:val="28"/>
          <w:lang w:val="uk-UA"/>
        </w:rPr>
        <w:t>Сектор (галузь) «Житло»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р</w:t>
      </w:r>
      <w:r w:rsidRPr="00256E82">
        <w:rPr>
          <w:rFonts w:ascii="Times New Roman" w:hAnsi="Times New Roman" w:cs="Times New Roman"/>
          <w:sz w:val="28"/>
          <w:szCs w:val="28"/>
          <w:lang w:val="uk-UA"/>
        </w:rPr>
        <w:t xml:space="preserve">еалізація проєкту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56E82">
        <w:rPr>
          <w:rFonts w:ascii="Times New Roman" w:hAnsi="Times New Roman" w:cs="Times New Roman"/>
          <w:sz w:val="28"/>
          <w:szCs w:val="28"/>
          <w:lang w:val="uk-UA"/>
        </w:rPr>
        <w:t>нове будівництво соціального житла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56E82">
        <w:rPr>
          <w:rFonts w:ascii="Times New Roman" w:hAnsi="Times New Roman" w:cs="Times New Roman"/>
          <w:sz w:val="28"/>
          <w:szCs w:val="28"/>
          <w:lang w:val="uk-UA"/>
        </w:rPr>
        <w:t xml:space="preserve"> забезпеч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ить</w:t>
      </w:r>
      <w:r w:rsidRPr="00256E82">
        <w:rPr>
          <w:rFonts w:ascii="Times New Roman" w:hAnsi="Times New Roman" w:cs="Times New Roman"/>
          <w:sz w:val="28"/>
          <w:szCs w:val="28"/>
          <w:lang w:val="uk-UA"/>
        </w:rPr>
        <w:t xml:space="preserve"> доступ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Pr="00256E82">
        <w:rPr>
          <w:rFonts w:ascii="Times New Roman" w:hAnsi="Times New Roman" w:cs="Times New Roman"/>
          <w:sz w:val="28"/>
          <w:szCs w:val="28"/>
          <w:lang w:val="uk-UA"/>
        </w:rPr>
        <w:t xml:space="preserve"> безпечного та комфортного проживання мешканців громади, підвищ</w:t>
      </w:r>
      <w:r>
        <w:rPr>
          <w:rFonts w:ascii="Times New Roman" w:hAnsi="Times New Roman" w:cs="Times New Roman"/>
          <w:sz w:val="28"/>
          <w:szCs w:val="28"/>
          <w:lang w:val="uk-UA"/>
        </w:rPr>
        <w:t>ить</w:t>
      </w:r>
      <w:r w:rsidRPr="00256E82">
        <w:rPr>
          <w:rFonts w:ascii="Times New Roman" w:hAnsi="Times New Roman" w:cs="Times New Roman"/>
          <w:sz w:val="28"/>
          <w:szCs w:val="28"/>
          <w:lang w:val="uk-UA"/>
        </w:rPr>
        <w:t xml:space="preserve"> рів</w:t>
      </w:r>
      <w:r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Pr="00256E82">
        <w:rPr>
          <w:rFonts w:ascii="Times New Roman" w:hAnsi="Times New Roman" w:cs="Times New Roman"/>
          <w:sz w:val="28"/>
          <w:szCs w:val="28"/>
          <w:lang w:val="uk-UA"/>
        </w:rPr>
        <w:t xml:space="preserve"> житлових умов населення, підтримк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56E82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стабільності та створ</w:t>
      </w:r>
      <w:r>
        <w:rPr>
          <w:rFonts w:ascii="Times New Roman" w:hAnsi="Times New Roman" w:cs="Times New Roman"/>
          <w:sz w:val="28"/>
          <w:szCs w:val="28"/>
          <w:lang w:val="uk-UA"/>
        </w:rPr>
        <w:t>ить</w:t>
      </w:r>
      <w:r w:rsidRPr="00256E82">
        <w:rPr>
          <w:rFonts w:ascii="Times New Roman" w:hAnsi="Times New Roman" w:cs="Times New Roman"/>
          <w:sz w:val="28"/>
          <w:szCs w:val="28"/>
          <w:lang w:val="uk-UA"/>
        </w:rPr>
        <w:t xml:space="preserve"> сприятлив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56E82">
        <w:rPr>
          <w:rFonts w:ascii="Times New Roman" w:hAnsi="Times New Roman" w:cs="Times New Roman"/>
          <w:sz w:val="28"/>
          <w:szCs w:val="28"/>
          <w:lang w:val="uk-UA"/>
        </w:rPr>
        <w:t xml:space="preserve"> умов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56E82">
        <w:rPr>
          <w:rFonts w:ascii="Times New Roman" w:hAnsi="Times New Roman" w:cs="Times New Roman"/>
          <w:sz w:val="28"/>
          <w:szCs w:val="28"/>
          <w:lang w:val="uk-UA"/>
        </w:rPr>
        <w:t xml:space="preserve"> для реалізації соціальних прав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міста.</w:t>
      </w:r>
    </w:p>
    <w:p w:rsidR="00E03969" w:rsidRDefault="00E03969" w:rsidP="00E03969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3969" w:rsidRDefault="00E03969" w:rsidP="00E03969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6042">
        <w:rPr>
          <w:rFonts w:ascii="Times New Roman" w:hAnsi="Times New Roman" w:cs="Times New Roman"/>
          <w:sz w:val="28"/>
          <w:szCs w:val="28"/>
          <w:lang w:val="uk-UA"/>
        </w:rPr>
        <w:t>Підсектори</w:t>
      </w:r>
      <w:proofErr w:type="spellEnd"/>
      <w:r w:rsidRPr="00A96042">
        <w:rPr>
          <w:rFonts w:ascii="Times New Roman" w:hAnsi="Times New Roman" w:cs="Times New Roman"/>
          <w:sz w:val="28"/>
          <w:szCs w:val="28"/>
          <w:lang w:val="uk-UA"/>
        </w:rPr>
        <w:t xml:space="preserve"> галузей (секторів) для публічного інвестування</w:t>
      </w:r>
    </w:p>
    <w:p w:rsidR="00E03969" w:rsidRPr="007E3411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6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6042">
        <w:rPr>
          <w:rFonts w:ascii="Times New Roman" w:hAnsi="Times New Roman" w:cs="Times New Roman"/>
          <w:sz w:val="28"/>
          <w:szCs w:val="28"/>
          <w:lang w:val="uk-UA"/>
        </w:rPr>
        <w:t>Підсектори</w:t>
      </w:r>
      <w:proofErr w:type="spellEnd"/>
      <w:r w:rsidRPr="00A96042">
        <w:rPr>
          <w:rFonts w:ascii="Times New Roman" w:hAnsi="Times New Roman" w:cs="Times New Roman"/>
          <w:sz w:val="28"/>
          <w:szCs w:val="28"/>
          <w:lang w:val="uk-UA"/>
        </w:rPr>
        <w:t xml:space="preserve"> галузей (секторів) для публічного інвестування визначають конкретні сфери діяльності, що потребують фінансування та особливої уваги з </w:t>
      </w:r>
      <w:r w:rsidRPr="00A8563E">
        <w:rPr>
          <w:rFonts w:ascii="Times New Roman" w:hAnsi="Times New Roman" w:cs="Times New Roman"/>
          <w:sz w:val="28"/>
          <w:szCs w:val="28"/>
          <w:lang w:val="uk-UA"/>
        </w:rPr>
        <w:t>боку держави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місцевої влади</w:t>
      </w:r>
      <w:r w:rsidRPr="00A856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96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3E17">
        <w:rPr>
          <w:rFonts w:ascii="Times New Roman" w:hAnsi="Times New Roman" w:cs="Times New Roman"/>
          <w:sz w:val="28"/>
          <w:szCs w:val="28"/>
          <w:lang w:val="uk-UA"/>
        </w:rPr>
        <w:t xml:space="preserve">Їх визначення дозволяє деталізувати пріоритети та оптимізувати використання бюджетних коштів. </w:t>
      </w:r>
      <w:r w:rsidRPr="008E19C1">
        <w:rPr>
          <w:rFonts w:ascii="Times New Roman" w:hAnsi="Times New Roman" w:cs="Times New Roman"/>
          <w:sz w:val="28"/>
          <w:szCs w:val="28"/>
          <w:lang w:val="uk-UA"/>
        </w:rPr>
        <w:t xml:space="preserve">У межах кожної пріоритетної галузі (сектора) для публічного інвестування формуються </w:t>
      </w:r>
      <w:proofErr w:type="spellStart"/>
      <w:r w:rsidRPr="008E19C1">
        <w:rPr>
          <w:rFonts w:ascii="Times New Roman" w:hAnsi="Times New Roman" w:cs="Times New Roman"/>
          <w:sz w:val="28"/>
          <w:szCs w:val="28"/>
          <w:lang w:val="uk-UA"/>
        </w:rPr>
        <w:t>підсектори</w:t>
      </w:r>
      <w:proofErr w:type="spellEnd"/>
      <w:r w:rsidRPr="008E19C1">
        <w:rPr>
          <w:rFonts w:ascii="Times New Roman" w:hAnsi="Times New Roman" w:cs="Times New Roman"/>
          <w:sz w:val="28"/>
          <w:szCs w:val="28"/>
          <w:lang w:val="uk-UA"/>
        </w:rPr>
        <w:t xml:space="preserve">, що відображають ключові напрями розвитку, які потребують публічних інвестицій. </w:t>
      </w:r>
      <w:proofErr w:type="spellStart"/>
      <w:r w:rsidRPr="008E19C1">
        <w:rPr>
          <w:rFonts w:ascii="Times New Roman" w:hAnsi="Times New Roman" w:cs="Times New Roman"/>
          <w:sz w:val="28"/>
          <w:szCs w:val="28"/>
          <w:lang w:val="uk-UA"/>
        </w:rPr>
        <w:t>Підсектори</w:t>
      </w:r>
      <w:proofErr w:type="spellEnd"/>
      <w:r w:rsidRPr="008E19C1">
        <w:rPr>
          <w:rFonts w:ascii="Times New Roman" w:hAnsi="Times New Roman" w:cs="Times New Roman"/>
          <w:sz w:val="28"/>
          <w:szCs w:val="28"/>
          <w:lang w:val="uk-UA"/>
        </w:rPr>
        <w:t xml:space="preserve"> є важливими аналітичними одиницями, які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будуть </w:t>
      </w:r>
      <w:r w:rsidRPr="008E19C1">
        <w:rPr>
          <w:rFonts w:ascii="Times New Roman" w:hAnsi="Times New Roman" w:cs="Times New Roman"/>
          <w:sz w:val="28"/>
          <w:szCs w:val="28"/>
          <w:lang w:val="uk-UA"/>
        </w:rPr>
        <w:t>сприят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E19C1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міських</w:t>
      </w:r>
      <w:r w:rsidRPr="008E19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цільових програм</w:t>
      </w:r>
      <w:r w:rsidRPr="008E19C1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будуть</w:t>
      </w:r>
      <w:r w:rsidRPr="008E19C1">
        <w:rPr>
          <w:rFonts w:ascii="Times New Roman" w:hAnsi="Times New Roman" w:cs="Times New Roman"/>
          <w:sz w:val="28"/>
          <w:szCs w:val="28"/>
          <w:lang w:val="uk-UA"/>
        </w:rPr>
        <w:t xml:space="preserve"> забезпеч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Pr="008E19C1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впровадження інтегрованого підходу до управління публічними інвестиціями</w:t>
      </w:r>
      <w:r w:rsidRPr="007E34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63AA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63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F63AA">
        <w:rPr>
          <w:rFonts w:ascii="Times New Roman" w:hAnsi="Times New Roman" w:cs="Times New Roman"/>
          <w:sz w:val="28"/>
          <w:szCs w:val="28"/>
        </w:rPr>
        <w:t>ідсекторів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секторів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інвестування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інвестування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в межах таких 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підсекторів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наведено у 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1 до 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середньострокового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плану. 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63AA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63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F63AA">
        <w:rPr>
          <w:rFonts w:ascii="Times New Roman" w:hAnsi="Times New Roman" w:cs="Times New Roman"/>
          <w:sz w:val="28"/>
          <w:szCs w:val="28"/>
        </w:rPr>
        <w:t>ідсекторів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секторів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інвестування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інвестування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- у </w:t>
      </w:r>
      <w:proofErr w:type="spellStart"/>
      <w:r w:rsidRPr="00EF63AA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Pr="00EF63AA">
        <w:rPr>
          <w:rFonts w:ascii="Times New Roman" w:hAnsi="Times New Roman" w:cs="Times New Roman"/>
          <w:sz w:val="28"/>
          <w:szCs w:val="28"/>
        </w:rPr>
        <w:t xml:space="preserve"> 2. </w:t>
      </w:r>
      <w:r w:rsidRPr="007E3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969" w:rsidRDefault="00E03969" w:rsidP="00E03969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3969" w:rsidRDefault="00E03969" w:rsidP="00E03969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5DC3">
        <w:rPr>
          <w:rFonts w:ascii="Times New Roman" w:hAnsi="Times New Roman" w:cs="Times New Roman"/>
          <w:sz w:val="28"/>
          <w:szCs w:val="28"/>
          <w:lang w:val="uk-UA"/>
        </w:rPr>
        <w:t>Основні напрями публічного інвестування</w:t>
      </w:r>
    </w:p>
    <w:p w:rsidR="00E03969" w:rsidRDefault="00E03969" w:rsidP="00E0396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DC3">
        <w:rPr>
          <w:rFonts w:ascii="Times New Roman" w:hAnsi="Times New Roman" w:cs="Times New Roman"/>
          <w:sz w:val="28"/>
          <w:szCs w:val="28"/>
          <w:lang w:val="uk-UA"/>
        </w:rPr>
        <w:t xml:space="preserve"> Основні напрями публічного інвестування узгоджуються із завданнями </w:t>
      </w:r>
      <w:r w:rsidRPr="006F2108">
        <w:rPr>
          <w:rFonts w:ascii="Times New Roman" w:hAnsi="Times New Roman" w:cs="Times New Roman"/>
          <w:sz w:val="28"/>
          <w:szCs w:val="28"/>
          <w:lang w:val="uk-UA"/>
        </w:rPr>
        <w:t xml:space="preserve">стратегії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держави та  міських</w:t>
      </w:r>
      <w:r w:rsidRPr="008E19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цільових програм</w:t>
      </w:r>
      <w:r w:rsidRPr="008E19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Новомосковської міської територіальної громади</w:t>
      </w:r>
      <w:r w:rsidRPr="00CB5DC3">
        <w:rPr>
          <w:rFonts w:ascii="Times New Roman" w:hAnsi="Times New Roman" w:cs="Times New Roman"/>
          <w:sz w:val="28"/>
          <w:szCs w:val="28"/>
          <w:lang w:val="uk-UA"/>
        </w:rPr>
        <w:t xml:space="preserve">, галузевих (секторальних) стратегій у розрізі сфер </w:t>
      </w:r>
      <w:r w:rsidRPr="00FC7791">
        <w:rPr>
          <w:rFonts w:ascii="Times New Roman" w:hAnsi="Times New Roman" w:cs="Times New Roman"/>
          <w:sz w:val="28"/>
          <w:szCs w:val="28"/>
          <w:lang w:val="uk-UA"/>
        </w:rPr>
        <w:t>місцевої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політики</w:t>
      </w:r>
      <w:r w:rsidRPr="00CB5DC3">
        <w:rPr>
          <w:rFonts w:ascii="Times New Roman" w:hAnsi="Times New Roman" w:cs="Times New Roman"/>
          <w:sz w:val="28"/>
          <w:szCs w:val="28"/>
          <w:lang w:val="uk-UA"/>
        </w:rPr>
        <w:t xml:space="preserve"> та мають найвищий рівень пріоритетності серед інших напрямів відповідної галузі (сектора) для отримання фінансування. Формування основних напрямів публічного інвестування здійснювалось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виконавчим комітетом Самарівської міської ради</w:t>
      </w:r>
      <w:r w:rsidRPr="00CB5DC3">
        <w:rPr>
          <w:rFonts w:ascii="Times New Roman" w:hAnsi="Times New Roman" w:cs="Times New Roman"/>
          <w:sz w:val="28"/>
          <w:szCs w:val="28"/>
          <w:lang w:val="uk-UA"/>
        </w:rPr>
        <w:t xml:space="preserve">, на основі пропозицій </w:t>
      </w:r>
      <w:r>
        <w:rPr>
          <w:rFonts w:ascii="Times New Roman" w:hAnsi="Times New Roman" w:cs="Times New Roman"/>
          <w:sz w:val="28"/>
          <w:szCs w:val="28"/>
          <w:lang w:val="uk-UA"/>
        </w:rPr>
        <w:t>структурних підрозділів</w:t>
      </w:r>
      <w:r w:rsidRPr="00CB5DC3">
        <w:rPr>
          <w:rFonts w:ascii="Times New Roman" w:hAnsi="Times New Roman" w:cs="Times New Roman"/>
          <w:sz w:val="28"/>
          <w:szCs w:val="28"/>
          <w:lang w:val="uk-UA"/>
        </w:rPr>
        <w:t>, відповідальни</w:t>
      </w:r>
      <w:r w:rsidRPr="001D3E17">
        <w:rPr>
          <w:rFonts w:ascii="Times New Roman" w:hAnsi="Times New Roman" w:cs="Times New Roman"/>
          <w:sz w:val="28"/>
          <w:szCs w:val="28"/>
          <w:lang w:val="uk-UA"/>
        </w:rPr>
        <w:t xml:space="preserve">х за галузі (сектори) для публічного інвестування, з урахуванням завдань, визначених відповідними галузевими (секторальними) стратегіями,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D3E17">
        <w:rPr>
          <w:rFonts w:ascii="Times New Roman" w:hAnsi="Times New Roman" w:cs="Times New Roman"/>
          <w:sz w:val="28"/>
          <w:szCs w:val="28"/>
          <w:lang w:val="uk-UA"/>
        </w:rPr>
        <w:t xml:space="preserve"> також з урахуванням наявності діючих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D3E17">
        <w:rPr>
          <w:rFonts w:ascii="Times New Roman" w:hAnsi="Times New Roman" w:cs="Times New Roman"/>
          <w:sz w:val="28"/>
          <w:szCs w:val="28"/>
          <w:lang w:val="uk-UA"/>
        </w:rPr>
        <w:t xml:space="preserve">ктів за відповідними напрямами. </w:t>
      </w:r>
      <w:r w:rsidRPr="00FC7791">
        <w:rPr>
          <w:rFonts w:ascii="Times New Roman" w:hAnsi="Times New Roman" w:cs="Times New Roman"/>
          <w:sz w:val="28"/>
          <w:szCs w:val="28"/>
          <w:lang w:val="uk-UA"/>
        </w:rPr>
        <w:t>При аналізі пропозицій також враховувалися Результати швидкої оцінки потреб (</w:t>
      </w:r>
      <w:r w:rsidRPr="00FC7791">
        <w:rPr>
          <w:rFonts w:ascii="Times New Roman" w:hAnsi="Times New Roman" w:cs="Times New Roman"/>
          <w:sz w:val="28"/>
          <w:szCs w:val="28"/>
        </w:rPr>
        <w:t>RDNA</w:t>
      </w:r>
      <w:r w:rsidRPr="00FC7791">
        <w:rPr>
          <w:rFonts w:ascii="Times New Roman" w:hAnsi="Times New Roman" w:cs="Times New Roman"/>
          <w:sz w:val="28"/>
          <w:szCs w:val="28"/>
          <w:lang w:val="uk-UA"/>
        </w:rPr>
        <w:t>4), План України (</w:t>
      </w:r>
      <w:proofErr w:type="spellStart"/>
      <w:r w:rsidRPr="00FC7791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FC77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7791">
        <w:rPr>
          <w:rFonts w:ascii="Times New Roman" w:hAnsi="Times New Roman" w:cs="Times New Roman"/>
          <w:sz w:val="28"/>
          <w:szCs w:val="28"/>
        </w:rPr>
        <w:t>Facility</w:t>
      </w:r>
      <w:proofErr w:type="spellEnd"/>
      <w:r w:rsidRPr="00FC7791">
        <w:rPr>
          <w:rFonts w:ascii="Times New Roman" w:hAnsi="Times New Roman" w:cs="Times New Roman"/>
          <w:sz w:val="28"/>
          <w:szCs w:val="28"/>
          <w:lang w:val="uk-UA"/>
        </w:rPr>
        <w:t>), визначені пріоритети в рамках діяльності Української платформи донорів.</w:t>
      </w:r>
      <w:r w:rsidRPr="001D3E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3969" w:rsidRDefault="00E03969" w:rsidP="00E0396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A8563E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Ключовими напрямами розвитку, які потребують публічних</w:t>
      </w:r>
      <w:r w:rsidRPr="00A8563E">
        <w:rPr>
          <w:rFonts w:ascii="Calibri" w:eastAsia="Calibri" w:hAnsi="Calibri" w:cs="Times New Roman"/>
          <w:kern w:val="2"/>
          <w:lang w:val="uk-UA"/>
        </w:rPr>
        <w:t xml:space="preserve"> </w:t>
      </w:r>
      <w:r w:rsidRPr="00A8563E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інвестицій відповідно до середньострокового плану є:</w:t>
      </w:r>
    </w:p>
    <w:p w:rsidR="00E03969" w:rsidRPr="00BD1FED" w:rsidRDefault="00E03969" w:rsidP="00E0396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 г</w:t>
      </w:r>
      <w:r w:rsidRPr="00BD1FED">
        <w:rPr>
          <w:rFonts w:ascii="Times New Roman" w:hAnsi="Times New Roman"/>
          <w:sz w:val="28"/>
          <w:szCs w:val="28"/>
          <w:lang w:val="uk-UA"/>
        </w:rPr>
        <w:t>алуз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BD1FED">
        <w:rPr>
          <w:rFonts w:ascii="Times New Roman" w:hAnsi="Times New Roman"/>
          <w:sz w:val="28"/>
          <w:szCs w:val="28"/>
          <w:lang w:val="uk-UA"/>
        </w:rPr>
        <w:t xml:space="preserve"> «Освіта»</w:t>
      </w:r>
    </w:p>
    <w:p w:rsidR="00E03969" w:rsidRPr="002D6DDC" w:rsidRDefault="00E03969" w:rsidP="00E0396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2D6DDC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1</w:t>
      </w:r>
      <w:r w:rsidRPr="002D6DDC">
        <w:rPr>
          <w:rFonts w:ascii="Times New Roman" w:eastAsia="Calibri" w:hAnsi="Times New Roman" w:cs="Times New Roman"/>
          <w:iCs/>
          <w:kern w:val="2"/>
          <w:sz w:val="28"/>
          <w:szCs w:val="28"/>
          <w:lang w:val="uk-UA"/>
        </w:rPr>
        <w:t>. Облаштування у закладах дошкільної освіти захисних споруд цивільного захисту (</w:t>
      </w:r>
      <w:proofErr w:type="spellStart"/>
      <w:r w:rsidRPr="002D6DDC">
        <w:rPr>
          <w:rFonts w:ascii="Times New Roman" w:eastAsia="Calibri" w:hAnsi="Times New Roman" w:cs="Times New Roman"/>
          <w:iCs/>
          <w:kern w:val="2"/>
          <w:sz w:val="28"/>
          <w:szCs w:val="28"/>
          <w:lang w:val="uk-UA"/>
        </w:rPr>
        <w:t>укриттів</w:t>
      </w:r>
      <w:proofErr w:type="spellEnd"/>
      <w:r w:rsidRPr="002D6DDC">
        <w:rPr>
          <w:rFonts w:ascii="Times New Roman" w:eastAsia="Calibri" w:hAnsi="Times New Roman" w:cs="Times New Roman"/>
          <w:iCs/>
          <w:kern w:val="2"/>
          <w:sz w:val="28"/>
          <w:szCs w:val="28"/>
          <w:lang w:val="uk-UA"/>
        </w:rPr>
        <w:t xml:space="preserve">) та забезпечення їх доступності для всіх учасників освітнього процесу. </w:t>
      </w:r>
    </w:p>
    <w:p w:rsidR="00E03969" w:rsidRPr="002D6DDC" w:rsidRDefault="00E03969" w:rsidP="00E0396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iCs/>
          <w:kern w:val="2"/>
          <w:sz w:val="28"/>
          <w:szCs w:val="28"/>
          <w:lang w:val="uk-UA"/>
        </w:rPr>
      </w:pPr>
      <w:r w:rsidRPr="002D6DDC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2. </w:t>
      </w:r>
      <w:r w:rsidRPr="002D6DDC">
        <w:rPr>
          <w:rFonts w:ascii="Times New Roman" w:eastAsia="Calibri" w:hAnsi="Times New Roman" w:cs="Times New Roman"/>
          <w:iCs/>
          <w:kern w:val="2"/>
          <w:sz w:val="28"/>
          <w:szCs w:val="28"/>
          <w:lang w:val="uk-UA"/>
        </w:rPr>
        <w:t>Облаштування у закладах загальної середньої освіти захисних споруд цивільного захисту (</w:t>
      </w:r>
      <w:proofErr w:type="spellStart"/>
      <w:r w:rsidRPr="002D6DDC">
        <w:rPr>
          <w:rFonts w:ascii="Times New Roman" w:eastAsia="Calibri" w:hAnsi="Times New Roman" w:cs="Times New Roman"/>
          <w:iCs/>
          <w:kern w:val="2"/>
          <w:sz w:val="28"/>
          <w:szCs w:val="28"/>
          <w:lang w:val="uk-UA"/>
        </w:rPr>
        <w:t>укриттів</w:t>
      </w:r>
      <w:proofErr w:type="spellEnd"/>
      <w:r w:rsidRPr="002D6DDC">
        <w:rPr>
          <w:rFonts w:ascii="Times New Roman" w:eastAsia="Calibri" w:hAnsi="Times New Roman" w:cs="Times New Roman"/>
          <w:iCs/>
          <w:kern w:val="2"/>
          <w:sz w:val="28"/>
          <w:szCs w:val="28"/>
          <w:lang w:val="uk-UA"/>
        </w:rPr>
        <w:t>) та забезпечення їх доступності для всіх учасників освітнього процесу.</w:t>
      </w:r>
    </w:p>
    <w:p w:rsidR="00E03969" w:rsidRPr="002D6DDC" w:rsidRDefault="00E03969" w:rsidP="00E0396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iCs/>
          <w:kern w:val="2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Cs/>
          <w:kern w:val="2"/>
          <w:sz w:val="28"/>
          <w:szCs w:val="28"/>
          <w:lang w:val="uk-UA"/>
        </w:rPr>
        <w:t>3</w:t>
      </w:r>
      <w:r w:rsidRPr="002D6DDC">
        <w:rPr>
          <w:rFonts w:ascii="Times New Roman" w:eastAsia="Calibri" w:hAnsi="Times New Roman" w:cs="Times New Roman"/>
          <w:iCs/>
          <w:kern w:val="2"/>
          <w:sz w:val="28"/>
          <w:szCs w:val="28"/>
          <w:lang w:val="uk-UA"/>
        </w:rPr>
        <w:t>.</w:t>
      </w:r>
      <w:r w:rsidRPr="002D6DDC">
        <w:rPr>
          <w:rFonts w:ascii="Calibri" w:eastAsia="Calibri" w:hAnsi="Calibri" w:cs="Times New Roman"/>
          <w:iCs/>
          <w:kern w:val="2"/>
          <w:lang w:val="uk-UA"/>
        </w:rPr>
        <w:t xml:space="preserve"> </w:t>
      </w:r>
      <w:r w:rsidRPr="002D6DDC">
        <w:rPr>
          <w:rFonts w:ascii="Times New Roman" w:eastAsia="Calibri" w:hAnsi="Times New Roman" w:cs="Times New Roman"/>
          <w:iCs/>
          <w:kern w:val="2"/>
          <w:sz w:val="28"/>
          <w:szCs w:val="28"/>
          <w:lang w:val="uk-UA"/>
        </w:rPr>
        <w:t>Забезпечення закладів загальної середньої освіти засобами навчання та обладнанням в межах впровадження реформи “Нова українська школа".</w:t>
      </w:r>
    </w:p>
    <w:p w:rsidR="00E03969" w:rsidRPr="002D6DDC" w:rsidRDefault="00E03969" w:rsidP="00E03969">
      <w:pPr>
        <w:pStyle w:val="a4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2D6DDC">
        <w:rPr>
          <w:rFonts w:ascii="Times New Roman" w:hAnsi="Times New Roman"/>
          <w:sz w:val="28"/>
          <w:szCs w:val="28"/>
          <w:lang w:val="uk-UA"/>
        </w:rPr>
        <w:t>в галузі «Охорона здоров’я»</w:t>
      </w:r>
    </w:p>
    <w:p w:rsidR="00E03969" w:rsidRPr="00674674" w:rsidRDefault="00E03969" w:rsidP="00E03969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D6DDC">
        <w:rPr>
          <w:rFonts w:ascii="Times New Roman" w:hAnsi="Times New Roman"/>
          <w:sz w:val="28"/>
          <w:szCs w:val="28"/>
          <w:lang w:val="uk-UA"/>
        </w:rPr>
        <w:t>1.Створення умов для розвитку актуального напрямку</w:t>
      </w:r>
      <w:r w:rsidRPr="0035053F">
        <w:rPr>
          <w:rFonts w:ascii="Times New Roman" w:hAnsi="Times New Roman"/>
          <w:sz w:val="28"/>
          <w:szCs w:val="28"/>
          <w:lang w:val="uk-UA"/>
        </w:rPr>
        <w:t xml:space="preserve"> медичної допомоги  - реабілітаційна допомога.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053F">
        <w:rPr>
          <w:rFonts w:ascii="Times New Roman" w:hAnsi="Times New Roman"/>
          <w:sz w:val="28"/>
          <w:szCs w:val="28"/>
          <w:lang w:val="uk-UA"/>
        </w:rPr>
        <w:t>Високий рівень актуальності має психічна та фізична реабілітація військовослужбовців для повного відновлення їх функцій та можливості повноцінно працювати й жити в суспільстві.</w:t>
      </w:r>
      <w:r>
        <w:rPr>
          <w:rFonts w:ascii="Times New Roman" w:hAnsi="Times New Roman"/>
          <w:sz w:val="28"/>
          <w:szCs w:val="28"/>
          <w:lang w:val="uk-UA"/>
        </w:rPr>
        <w:t xml:space="preserve"> Для вирішення цієї проблеми запропоновані три проєкти</w:t>
      </w:r>
      <w:r w:rsidRPr="00674674">
        <w:rPr>
          <w:rFonts w:ascii="Times New Roman" w:hAnsi="Times New Roman"/>
          <w:sz w:val="28"/>
          <w:szCs w:val="28"/>
          <w:lang w:val="uk-UA"/>
        </w:rPr>
        <w:t>.</w:t>
      </w:r>
    </w:p>
    <w:p w:rsidR="00E03969" w:rsidRDefault="00E03969" w:rsidP="00E03969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2.Д</w:t>
      </w:r>
      <w:r w:rsidRPr="00A43F12">
        <w:rPr>
          <w:rFonts w:ascii="Times New Roman" w:hAnsi="Times New Roman"/>
          <w:sz w:val="28"/>
          <w:szCs w:val="28"/>
          <w:lang w:val="uk-UA"/>
        </w:rPr>
        <w:t xml:space="preserve">ля покращення здоров'я населення, підвищення ефективності системи </w:t>
      </w:r>
      <w:r>
        <w:rPr>
          <w:rFonts w:ascii="Times New Roman" w:hAnsi="Times New Roman"/>
          <w:sz w:val="28"/>
          <w:szCs w:val="28"/>
          <w:lang w:val="uk-UA"/>
        </w:rPr>
        <w:t xml:space="preserve">охорони здоров’я </w:t>
      </w:r>
      <w:r w:rsidRPr="00A43F12">
        <w:rPr>
          <w:rFonts w:ascii="Times New Roman" w:hAnsi="Times New Roman"/>
          <w:sz w:val="28"/>
          <w:szCs w:val="28"/>
          <w:lang w:val="uk-UA"/>
        </w:rPr>
        <w:t>та забезпечення її стійкості зап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A43F12">
        <w:rPr>
          <w:rFonts w:ascii="Times New Roman" w:hAnsi="Times New Roman"/>
          <w:sz w:val="28"/>
          <w:szCs w:val="28"/>
          <w:lang w:val="uk-UA"/>
        </w:rPr>
        <w:t xml:space="preserve">новано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A43F12">
        <w:rPr>
          <w:rFonts w:ascii="Times New Roman" w:hAnsi="Times New Roman"/>
          <w:sz w:val="28"/>
          <w:szCs w:val="28"/>
          <w:lang w:val="uk-UA"/>
        </w:rPr>
        <w:t>еконструкц</w:t>
      </w:r>
      <w:r>
        <w:rPr>
          <w:rFonts w:ascii="Times New Roman" w:hAnsi="Times New Roman"/>
          <w:sz w:val="28"/>
          <w:szCs w:val="28"/>
          <w:lang w:val="uk-UA"/>
        </w:rPr>
        <w:t>ія нежитлової будівлі літ. Г-1 лікувального корпусу дитяче відділення</w:t>
      </w:r>
      <w:r w:rsidRPr="00A43F12">
        <w:rPr>
          <w:rFonts w:ascii="Times New Roman" w:hAnsi="Times New Roman"/>
          <w:sz w:val="28"/>
          <w:szCs w:val="28"/>
          <w:lang w:val="uk-UA"/>
        </w:rPr>
        <w:t xml:space="preserve"> з прибудовою лікувально-діагностичного корпусу та влаштуванням захисної споруди цивільного захисту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03969" w:rsidRDefault="00E03969" w:rsidP="00E03969">
      <w:pPr>
        <w:pStyle w:val="a4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-в галузі </w:t>
      </w:r>
      <w:r w:rsidRPr="00646656">
        <w:rPr>
          <w:rFonts w:ascii="Times New Roman" w:hAnsi="Times New Roman"/>
          <w:sz w:val="28"/>
          <w:szCs w:val="28"/>
        </w:rPr>
        <w:t>«</w:t>
      </w:r>
      <w:proofErr w:type="spellStart"/>
      <w:r w:rsidRPr="00646656">
        <w:rPr>
          <w:rFonts w:ascii="Times New Roman" w:hAnsi="Times New Roman"/>
          <w:sz w:val="28"/>
          <w:szCs w:val="28"/>
        </w:rPr>
        <w:t>Соціальна</w:t>
      </w:r>
      <w:proofErr w:type="spellEnd"/>
      <w:r w:rsidRPr="00646656">
        <w:rPr>
          <w:rFonts w:ascii="Times New Roman" w:hAnsi="Times New Roman"/>
          <w:sz w:val="28"/>
          <w:szCs w:val="28"/>
        </w:rPr>
        <w:t xml:space="preserve"> сфера»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03969" w:rsidRDefault="00E03969" w:rsidP="00E03969">
      <w:pPr>
        <w:pStyle w:val="a4"/>
        <w:ind w:left="0" w:firstLine="708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</w:t>
      </w:r>
      <w:r w:rsidRPr="005F032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Виплата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 передбачається в порядку черговості за заявою особи, та подачею необхідних документів до органу соціального захисту населення за місцем перебування на квартирному обліку.</w:t>
      </w:r>
    </w:p>
    <w:p w:rsidR="00E03969" w:rsidRDefault="00E03969" w:rsidP="00E03969">
      <w:pPr>
        <w:pStyle w:val="a5"/>
        <w:ind w:firstLine="708"/>
        <w:jc w:val="both"/>
        <w:rPr>
          <w:rStyle w:val="Bodytext2"/>
          <w:rFonts w:eastAsia="Courier New"/>
          <w:color w:val="auto"/>
          <w:sz w:val="28"/>
          <w:szCs w:val="28"/>
        </w:rPr>
      </w:pPr>
      <w:r>
        <w:rPr>
          <w:rStyle w:val="Bodytext2"/>
          <w:rFonts w:eastAsia="Courier New"/>
          <w:color w:val="auto"/>
          <w:sz w:val="28"/>
          <w:szCs w:val="28"/>
        </w:rPr>
        <w:t>2.П</w:t>
      </w:r>
      <w:r w:rsidRPr="005F032E">
        <w:rPr>
          <w:rStyle w:val="Bodytext2"/>
          <w:rFonts w:eastAsia="Courier New"/>
          <w:color w:val="auto"/>
          <w:sz w:val="28"/>
          <w:szCs w:val="28"/>
        </w:rPr>
        <w:t>ридбання житла на умовах співфінансування (не менше ніж 10 відсотків – за рахунок коштів відповідних місцевих бюджетів та/або інших джерел, не заборонених законодавством) для новостворених дитячих будинків сімейного типу.</w:t>
      </w:r>
    </w:p>
    <w:p w:rsidR="00E03969" w:rsidRPr="00844599" w:rsidRDefault="00E03969" w:rsidP="00E03969">
      <w:pPr>
        <w:pStyle w:val="a5"/>
        <w:ind w:left="106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Bodytext2"/>
          <w:rFonts w:eastAsia="Courier New"/>
          <w:color w:val="auto"/>
          <w:sz w:val="28"/>
          <w:szCs w:val="28"/>
        </w:rPr>
        <w:t xml:space="preserve">-в галузі </w:t>
      </w:r>
      <w:r w:rsidRPr="004A6CBB">
        <w:rPr>
          <w:rFonts w:ascii="Times New Roman" w:hAnsi="Times New Roman" w:cs="Times New Roman"/>
          <w:sz w:val="28"/>
          <w:szCs w:val="28"/>
        </w:rPr>
        <w:t>«Муніципальна інфраструктура та послуги»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969" w:rsidRDefault="00E03969" w:rsidP="00E039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Pr="00D76237">
        <w:rPr>
          <w:rFonts w:ascii="Times New Roman" w:eastAsia="Times New Roman" w:hAnsi="Times New Roman" w:cs="Times New Roman"/>
          <w:sz w:val="28"/>
          <w:szCs w:val="28"/>
        </w:rPr>
        <w:t>Відновлення,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6237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 w:rsidRPr="00D76237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6237">
        <w:rPr>
          <w:rFonts w:ascii="Times New Roman" w:eastAsia="Times New Roman" w:hAnsi="Times New Roman" w:cs="Times New Roman"/>
          <w:sz w:val="28"/>
          <w:szCs w:val="28"/>
        </w:rPr>
        <w:t>модернізація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6237"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</w:t>
      </w:r>
      <w:proofErr w:type="spellStart"/>
      <w:r w:rsidRPr="00D76237">
        <w:rPr>
          <w:rFonts w:ascii="Times New Roman" w:eastAsia="Times New Roman" w:hAnsi="Times New Roman" w:cs="Times New Roman"/>
          <w:sz w:val="28"/>
          <w:szCs w:val="28"/>
        </w:rPr>
        <w:t>ентралізованого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6237">
        <w:rPr>
          <w:rFonts w:ascii="Times New Roman" w:eastAsia="Times New Roman" w:hAnsi="Times New Roman" w:cs="Times New Roman"/>
          <w:sz w:val="28"/>
          <w:szCs w:val="28"/>
        </w:rPr>
        <w:t>водопостачання</w:t>
      </w:r>
      <w:proofErr w:type="spellEnd"/>
      <w:r w:rsidRPr="00D76237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6237">
        <w:rPr>
          <w:rFonts w:ascii="Times New Roman" w:eastAsia="Times New Roman" w:hAnsi="Times New Roman" w:cs="Times New Roman"/>
          <w:sz w:val="28"/>
          <w:szCs w:val="28"/>
        </w:rPr>
        <w:t>водовідведення</w:t>
      </w:r>
      <w:proofErr w:type="spellEnd"/>
      <w:r w:rsidRPr="00D7623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76237">
        <w:rPr>
          <w:rFonts w:ascii="Times New Roman" w:eastAsia="Times New Roman" w:hAnsi="Times New Roman" w:cs="Times New Roman"/>
          <w:sz w:val="28"/>
          <w:szCs w:val="28"/>
        </w:rPr>
        <w:t>Нове</w:t>
      </w:r>
      <w:proofErr w:type="spellEnd"/>
      <w:r w:rsidRPr="00D76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6237">
        <w:rPr>
          <w:rFonts w:ascii="Times New Roman" w:eastAsia="Times New Roman" w:hAnsi="Times New Roman" w:cs="Times New Roman"/>
          <w:sz w:val="28"/>
          <w:szCs w:val="28"/>
        </w:rPr>
        <w:t>будівництво</w:t>
      </w:r>
      <w:proofErr w:type="spellEnd"/>
      <w:r w:rsidRPr="00D76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6237">
        <w:rPr>
          <w:rFonts w:ascii="Times New Roman" w:eastAsia="Times New Roman" w:hAnsi="Times New Roman" w:cs="Times New Roman"/>
          <w:sz w:val="28"/>
          <w:szCs w:val="28"/>
        </w:rPr>
        <w:t>водопровідної</w:t>
      </w:r>
      <w:proofErr w:type="spellEnd"/>
      <w:r w:rsidRPr="00D76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6237">
        <w:rPr>
          <w:rFonts w:ascii="Times New Roman" w:eastAsia="Times New Roman" w:hAnsi="Times New Roman" w:cs="Times New Roman"/>
          <w:sz w:val="28"/>
          <w:szCs w:val="28"/>
        </w:rPr>
        <w:t>мережі</w:t>
      </w:r>
      <w:proofErr w:type="spellEnd"/>
      <w:r w:rsidRPr="00D76237">
        <w:rPr>
          <w:rFonts w:ascii="Times New Roman" w:eastAsia="Times New Roman" w:hAnsi="Times New Roman" w:cs="Times New Roman"/>
          <w:sz w:val="28"/>
          <w:szCs w:val="28"/>
        </w:rPr>
        <w:t xml:space="preserve">  в м. </w:t>
      </w:r>
      <w:proofErr w:type="spellStart"/>
      <w:r w:rsidRPr="00D76237">
        <w:rPr>
          <w:rFonts w:ascii="Times New Roman" w:eastAsia="Times New Roman" w:hAnsi="Times New Roman" w:cs="Times New Roman"/>
          <w:sz w:val="28"/>
          <w:szCs w:val="28"/>
        </w:rPr>
        <w:t>Самар</w:t>
      </w:r>
      <w:proofErr w:type="spellEnd"/>
      <w:r w:rsidRPr="00D76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6237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D76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6237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D7623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03969" w:rsidRDefault="00E03969" w:rsidP="00E039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2.</w:t>
      </w:r>
      <w:r w:rsidRPr="00242C1E">
        <w:t xml:space="preserve"> </w:t>
      </w:r>
      <w:proofErr w:type="spellStart"/>
      <w:r w:rsidRPr="00526F59">
        <w:rPr>
          <w:rFonts w:ascii="Times New Roman" w:eastAsia="Times New Roman" w:hAnsi="Times New Roman" w:cs="Times New Roman"/>
          <w:sz w:val="28"/>
          <w:szCs w:val="28"/>
        </w:rPr>
        <w:t>Розбудова</w:t>
      </w:r>
      <w:proofErr w:type="spellEnd"/>
      <w:r w:rsidRPr="00526F59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F59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F59"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F59">
        <w:rPr>
          <w:rFonts w:ascii="Times New Roman" w:eastAsia="Times New Roman" w:hAnsi="Times New Roman" w:cs="Times New Roman"/>
          <w:sz w:val="28"/>
          <w:szCs w:val="28"/>
        </w:rPr>
        <w:t>автомобільних</w:t>
      </w:r>
      <w:proofErr w:type="spellEnd"/>
      <w:r w:rsidRPr="00526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6F59">
        <w:rPr>
          <w:rFonts w:ascii="Times New Roman" w:eastAsia="Times New Roman" w:hAnsi="Times New Roman" w:cs="Times New Roman"/>
          <w:sz w:val="28"/>
          <w:szCs w:val="28"/>
        </w:rPr>
        <w:t>доріг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F59">
        <w:rPr>
          <w:rFonts w:ascii="Times New Roman" w:eastAsia="Times New Roman" w:hAnsi="Times New Roman" w:cs="Times New Roman"/>
          <w:sz w:val="28"/>
          <w:szCs w:val="28"/>
        </w:rPr>
        <w:t>загального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F59">
        <w:rPr>
          <w:rFonts w:ascii="Times New Roman" w:eastAsia="Times New Roman" w:hAnsi="Times New Roman" w:cs="Times New Roman"/>
          <w:sz w:val="28"/>
          <w:szCs w:val="28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03969" w:rsidRDefault="00E03969" w:rsidP="00E039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3. </w:t>
      </w:r>
      <w:r w:rsidRPr="002D6DDC">
        <w:rPr>
          <w:rFonts w:ascii="Times New Roman" w:eastAsia="Calibri" w:hAnsi="Times New Roman" w:cs="Times New Roman"/>
          <w:iCs/>
          <w:kern w:val="2"/>
          <w:sz w:val="28"/>
          <w:szCs w:val="28"/>
          <w:lang w:val="uk-UA"/>
        </w:rPr>
        <w:t>Облаштування у закладах загальної середньої освіти захисних споруд цивільного захисту (</w:t>
      </w:r>
      <w:proofErr w:type="spellStart"/>
      <w:r w:rsidRPr="002D6DDC">
        <w:rPr>
          <w:rFonts w:ascii="Times New Roman" w:eastAsia="Calibri" w:hAnsi="Times New Roman" w:cs="Times New Roman"/>
          <w:iCs/>
          <w:kern w:val="2"/>
          <w:sz w:val="28"/>
          <w:szCs w:val="28"/>
          <w:lang w:val="uk-UA"/>
        </w:rPr>
        <w:t>укрит</w:t>
      </w:r>
      <w:r>
        <w:rPr>
          <w:rFonts w:ascii="Times New Roman" w:eastAsia="Calibri" w:hAnsi="Times New Roman" w:cs="Times New Roman"/>
          <w:iCs/>
          <w:kern w:val="2"/>
          <w:sz w:val="28"/>
          <w:szCs w:val="28"/>
          <w:lang w:val="uk-UA"/>
        </w:rPr>
        <w:t>т</w:t>
      </w:r>
      <w:r w:rsidRPr="002D6DDC">
        <w:rPr>
          <w:rFonts w:ascii="Times New Roman" w:eastAsia="Calibri" w:hAnsi="Times New Roman" w:cs="Times New Roman"/>
          <w:iCs/>
          <w:kern w:val="2"/>
          <w:sz w:val="28"/>
          <w:szCs w:val="28"/>
          <w:lang w:val="uk-UA"/>
        </w:rPr>
        <w:t>ів</w:t>
      </w:r>
      <w:proofErr w:type="spellEnd"/>
      <w:r w:rsidRPr="002D6DDC">
        <w:rPr>
          <w:rFonts w:ascii="Times New Roman" w:eastAsia="Calibri" w:hAnsi="Times New Roman" w:cs="Times New Roman"/>
          <w:iCs/>
          <w:kern w:val="2"/>
          <w:sz w:val="28"/>
          <w:szCs w:val="28"/>
          <w:lang w:val="uk-UA"/>
        </w:rPr>
        <w:t>) та забезпечення їх доступності для всіх учасників освітнього процесу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Pr="005F79B8">
        <w:rPr>
          <w:lang w:val="uk-UA"/>
        </w:rPr>
        <w:t xml:space="preserve"> </w:t>
      </w:r>
      <w:r w:rsidRPr="00F22F0A">
        <w:rPr>
          <w:rFonts w:ascii="Times New Roman" w:eastAsia="Times New Roman" w:hAnsi="Times New Roman" w:cs="Times New Roman"/>
          <w:sz w:val="28"/>
          <w:szCs w:val="28"/>
          <w:lang w:val="uk-UA"/>
        </w:rPr>
        <w:t>Розбудова 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22F0A">
        <w:rPr>
          <w:rFonts w:ascii="Times New Roman" w:eastAsia="Times New Roman" w:hAnsi="Times New Roman" w:cs="Times New Roman"/>
          <w:sz w:val="28"/>
          <w:szCs w:val="28"/>
          <w:lang w:val="uk-UA"/>
        </w:rPr>
        <w:t>відновлення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22F0A">
        <w:rPr>
          <w:rFonts w:ascii="Times New Roman" w:eastAsia="Times New Roman" w:hAnsi="Times New Roman" w:cs="Times New Roman"/>
          <w:sz w:val="28"/>
          <w:szCs w:val="28"/>
          <w:lang w:val="uk-UA"/>
        </w:rPr>
        <w:t>муніципальної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22F0A">
        <w:rPr>
          <w:rFonts w:ascii="Times New Roman" w:eastAsia="Times New Roman" w:hAnsi="Times New Roman" w:cs="Times New Roman"/>
          <w:sz w:val="28"/>
          <w:szCs w:val="28"/>
          <w:lang w:val="uk-UA"/>
        </w:rPr>
        <w:t>інфраструктури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міста</w:t>
      </w:r>
      <w:r w:rsidRPr="005F7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(модернізація вуличного освітлення та інше).</w:t>
      </w:r>
    </w:p>
    <w:p w:rsidR="00E03969" w:rsidRDefault="00E03969" w:rsidP="00E03969">
      <w:pPr>
        <w:spacing w:after="0"/>
        <w:jc w:val="both"/>
        <w:rPr>
          <w:rStyle w:val="Bodytext2"/>
          <w:rFonts w:eastAsia="Courier New"/>
          <w:color w:val="auto"/>
          <w:sz w:val="28"/>
          <w:szCs w:val="28"/>
        </w:rPr>
      </w:pPr>
      <w:r w:rsidRPr="009A20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9A20BD">
        <w:rPr>
          <w:rStyle w:val="Bodytext2"/>
          <w:rFonts w:eastAsia="Courier New"/>
          <w:color w:val="auto"/>
          <w:sz w:val="28"/>
          <w:szCs w:val="28"/>
        </w:rPr>
        <w:t>-в галузі «Довкілля»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Bodytext2"/>
          <w:rFonts w:eastAsia="Courier New"/>
          <w:color w:val="auto"/>
          <w:sz w:val="28"/>
          <w:szCs w:val="28"/>
        </w:rPr>
        <w:t>1. О</w:t>
      </w:r>
      <w:r>
        <w:rPr>
          <w:rFonts w:ascii="Times New Roman" w:hAnsi="Times New Roman" w:cs="Times New Roman"/>
          <w:sz w:val="28"/>
          <w:szCs w:val="28"/>
          <w:lang w:val="uk-UA"/>
        </w:rPr>
        <w:t>чищення русла річки Самара в районі острова Молодіжний.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 галузі «Житло»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734E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Нове будівництво соціального житла.</w:t>
      </w:r>
    </w:p>
    <w:p w:rsidR="00E03969" w:rsidRPr="00B850E3" w:rsidRDefault="00E03969" w:rsidP="00E0396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50E3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Структурними підрозділами, відповідальними за галузі (сектори) для публічного інвестування, було подано 12 пропозицій до середньострокового плану, що містили 69 напрямів для публічного інвестування, з них 13 визначено основними та включено в Додаток 1 до цього плану, 56 напрямів для публічного інвестування відображені у Додатку 2. </w:t>
      </w:r>
    </w:p>
    <w:p w:rsidR="00E03969" w:rsidRDefault="00E03969" w:rsidP="00E03969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3969" w:rsidRDefault="00E03969" w:rsidP="00E03969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E3411">
        <w:rPr>
          <w:rFonts w:ascii="Times New Roman" w:hAnsi="Times New Roman" w:cs="Times New Roman"/>
          <w:sz w:val="28"/>
          <w:szCs w:val="28"/>
        </w:rPr>
        <w:t>Фінансова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інвестицій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Орієнтовний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граничний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сукупний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інвестицій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E3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411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411">
        <w:rPr>
          <w:rFonts w:ascii="Times New Roman" w:hAnsi="Times New Roman" w:cs="Times New Roman"/>
          <w:sz w:val="28"/>
          <w:szCs w:val="28"/>
        </w:rPr>
        <w:t xml:space="preserve">– 2028 роки в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розрізі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та за роками становить:</w:t>
      </w:r>
    </w:p>
    <w:p w:rsidR="00E03969" w:rsidRDefault="00E03969" w:rsidP="00E0396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03969" w:rsidRDefault="00E03969" w:rsidP="00E0396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03969" w:rsidRDefault="00E03969" w:rsidP="00E0396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03969" w:rsidRPr="007E3411" w:rsidRDefault="00E03969" w:rsidP="00E0396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417"/>
        <w:gridCol w:w="1559"/>
        <w:gridCol w:w="1596"/>
      </w:tblGrid>
      <w:tr w:rsidR="00E03969" w:rsidRPr="007E3411" w:rsidTr="00D3473A">
        <w:tc>
          <w:tcPr>
            <w:tcW w:w="3652" w:type="dxa"/>
            <w:vAlign w:val="center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Орієнтовні граничні показники</w:t>
            </w:r>
          </w:p>
        </w:tc>
        <w:tc>
          <w:tcPr>
            <w:tcW w:w="1418" w:type="dxa"/>
            <w:vAlign w:val="center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7" w:type="dxa"/>
            <w:vAlign w:val="center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559" w:type="dxa"/>
            <w:vAlign w:val="center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516" w:type="dxa"/>
            <w:vAlign w:val="center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2026-2028роки (прогноз)</w:t>
            </w:r>
          </w:p>
        </w:tc>
      </w:tr>
      <w:tr w:rsidR="00E03969" w:rsidRPr="007E3411" w:rsidTr="00D3473A">
        <w:tc>
          <w:tcPr>
            <w:tcW w:w="3652" w:type="dxa"/>
          </w:tcPr>
          <w:p w:rsidR="00E03969" w:rsidRPr="00662A25" w:rsidRDefault="00E03969" w:rsidP="00D347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62A25"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Орієнтовний</w:t>
            </w:r>
            <w:proofErr w:type="spellEnd"/>
            <w:r w:rsidRPr="00662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2A25">
              <w:rPr>
                <w:rFonts w:ascii="Times New Roman" w:hAnsi="Times New Roman" w:cs="Times New Roman"/>
                <w:b/>
                <w:sz w:val="24"/>
                <w:szCs w:val="24"/>
              </w:rPr>
              <w:t>граничний</w:t>
            </w:r>
            <w:proofErr w:type="spellEnd"/>
            <w:r w:rsidRPr="00662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2A25">
              <w:rPr>
                <w:rFonts w:ascii="Times New Roman" w:hAnsi="Times New Roman" w:cs="Times New Roman"/>
                <w:b/>
                <w:sz w:val="24"/>
                <w:szCs w:val="24"/>
              </w:rPr>
              <w:t>сукупний</w:t>
            </w:r>
            <w:proofErr w:type="spellEnd"/>
            <w:r w:rsidRPr="00662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2A25">
              <w:rPr>
                <w:rFonts w:ascii="Times New Roman" w:hAnsi="Times New Roman" w:cs="Times New Roman"/>
                <w:b/>
                <w:sz w:val="24"/>
                <w:szCs w:val="24"/>
              </w:rPr>
              <w:t>обсяг</w:t>
            </w:r>
            <w:proofErr w:type="spellEnd"/>
            <w:r w:rsidRPr="00662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2A25">
              <w:rPr>
                <w:rFonts w:ascii="Times New Roman" w:hAnsi="Times New Roman" w:cs="Times New Roman"/>
                <w:b/>
                <w:sz w:val="24"/>
                <w:szCs w:val="24"/>
              </w:rPr>
              <w:t>публічних</w:t>
            </w:r>
            <w:proofErr w:type="spellEnd"/>
            <w:r w:rsidRPr="00662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інвестицій</w:t>
            </w:r>
            <w:r w:rsidRPr="00662A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662A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</w:t>
            </w:r>
            <w:proofErr w:type="gramEnd"/>
            <w:r w:rsidRPr="00662A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тому числі за рахунок:</w:t>
            </w:r>
          </w:p>
        </w:tc>
        <w:tc>
          <w:tcPr>
            <w:tcW w:w="1418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762 232,304</w:t>
            </w:r>
          </w:p>
        </w:tc>
        <w:tc>
          <w:tcPr>
            <w:tcW w:w="1417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167 371,884</w:t>
            </w:r>
          </w:p>
        </w:tc>
        <w:tc>
          <w:tcPr>
            <w:tcW w:w="1559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8 634,</w:t>
            </w:r>
            <w:r w:rsidRPr="00662A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</w:t>
            </w:r>
          </w:p>
        </w:tc>
        <w:tc>
          <w:tcPr>
            <w:tcW w:w="1516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1 178 238,788</w:t>
            </w:r>
          </w:p>
        </w:tc>
      </w:tr>
      <w:tr w:rsidR="00E03969" w:rsidRPr="007E3411" w:rsidTr="00D3473A">
        <w:tc>
          <w:tcPr>
            <w:tcW w:w="3652" w:type="dxa"/>
          </w:tcPr>
          <w:p w:rsidR="00E03969" w:rsidRPr="00662A25" w:rsidRDefault="00E03969" w:rsidP="00D34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місцевого бюджету, у тому числі: </w:t>
            </w:r>
          </w:p>
        </w:tc>
        <w:tc>
          <w:tcPr>
            <w:tcW w:w="1418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16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37 500,000</w:t>
            </w:r>
          </w:p>
        </w:tc>
      </w:tr>
      <w:tr w:rsidR="00E03969" w:rsidRPr="007E3411" w:rsidTr="00D3473A">
        <w:tc>
          <w:tcPr>
            <w:tcW w:w="3652" w:type="dxa"/>
          </w:tcPr>
          <w:p w:rsidR="00E03969" w:rsidRPr="00662A25" w:rsidRDefault="00E03969" w:rsidP="00D34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співфінансування заходів щодо підготовки та реалізації публічних інвестиційних проєктів та програм публічних інвестицій</w:t>
            </w:r>
          </w:p>
        </w:tc>
        <w:tc>
          <w:tcPr>
            <w:tcW w:w="1418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12 162,579</w:t>
            </w:r>
          </w:p>
        </w:tc>
        <w:tc>
          <w:tcPr>
            <w:tcW w:w="1417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9 667,579</w:t>
            </w:r>
          </w:p>
        </w:tc>
        <w:tc>
          <w:tcPr>
            <w:tcW w:w="1559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205,00</w:t>
            </w:r>
          </w:p>
        </w:tc>
        <w:tc>
          <w:tcPr>
            <w:tcW w:w="1516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22 035,158</w:t>
            </w:r>
          </w:p>
        </w:tc>
      </w:tr>
      <w:tr w:rsidR="00E03969" w:rsidRPr="007E3411" w:rsidTr="00D3473A">
        <w:tc>
          <w:tcPr>
            <w:tcW w:w="3652" w:type="dxa"/>
          </w:tcPr>
          <w:p w:rsidR="00E03969" w:rsidRPr="00662A25" w:rsidRDefault="00E03969" w:rsidP="00D34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міжбюджетних трансфертів з державного бюджету</w:t>
            </w:r>
          </w:p>
        </w:tc>
        <w:tc>
          <w:tcPr>
            <w:tcW w:w="1418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615 560,862</w:t>
            </w:r>
          </w:p>
        </w:tc>
        <w:tc>
          <w:tcPr>
            <w:tcW w:w="1417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124 581,184</w:t>
            </w:r>
          </w:p>
        </w:tc>
        <w:tc>
          <w:tcPr>
            <w:tcW w:w="1559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123,00</w:t>
            </w:r>
          </w:p>
        </w:tc>
        <w:tc>
          <w:tcPr>
            <w:tcW w:w="1516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932 265,046</w:t>
            </w:r>
          </w:p>
        </w:tc>
      </w:tr>
      <w:tr w:rsidR="00E03969" w:rsidRPr="007E3411" w:rsidTr="00D3473A">
        <w:tc>
          <w:tcPr>
            <w:tcW w:w="3652" w:type="dxa"/>
          </w:tcPr>
          <w:p w:rsidR="00E03969" w:rsidRPr="00662A25" w:rsidRDefault="00E03969" w:rsidP="00D34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міжбюджетних трансфертів з інших місцевих бюджетів</w:t>
            </w:r>
          </w:p>
        </w:tc>
        <w:tc>
          <w:tcPr>
            <w:tcW w:w="1418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131,00</w:t>
            </w:r>
          </w:p>
        </w:tc>
        <w:tc>
          <w:tcPr>
            <w:tcW w:w="1417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559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,600</w:t>
            </w:r>
          </w:p>
        </w:tc>
        <w:tc>
          <w:tcPr>
            <w:tcW w:w="1516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89 291,3</w:t>
            </w:r>
          </w:p>
        </w:tc>
      </w:tr>
      <w:tr w:rsidR="00E03969" w:rsidRPr="007E3411" w:rsidTr="00D3473A">
        <w:tc>
          <w:tcPr>
            <w:tcW w:w="3652" w:type="dxa"/>
          </w:tcPr>
          <w:p w:rsidR="00E03969" w:rsidRPr="00662A25" w:rsidRDefault="00E03969" w:rsidP="00D34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кошти від </w:t>
            </w: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запозичень</w:t>
            </w:r>
          </w:p>
        </w:tc>
        <w:tc>
          <w:tcPr>
            <w:tcW w:w="1418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442</w:t>
            </w:r>
          </w:p>
        </w:tc>
        <w:tc>
          <w:tcPr>
            <w:tcW w:w="1417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559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142,00</w:t>
            </w:r>
          </w:p>
        </w:tc>
        <w:tc>
          <w:tcPr>
            <w:tcW w:w="1516" w:type="dxa"/>
            <w:vAlign w:val="bottom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119 182,442</w:t>
            </w:r>
          </w:p>
        </w:tc>
      </w:tr>
    </w:tbl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3969" w:rsidRPr="00282523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523">
        <w:rPr>
          <w:rFonts w:ascii="Times New Roman" w:hAnsi="Times New Roman" w:cs="Times New Roman"/>
          <w:sz w:val="28"/>
          <w:szCs w:val="28"/>
          <w:lang w:val="uk-UA"/>
        </w:rPr>
        <w:t>Розподіл орієнтовного граничного сукупного обсягу публічних інвестицій на 2026, 2027, 2028 роки на сектори (галузі) для публічного інвестування в межах доведеного фінансовим управлінням Самарівської міської ради орієнтовного граничного сукупного обсягу публічних інвестицій на середньостроковий період має таку структуру:</w:t>
      </w:r>
    </w:p>
    <w:p w:rsidR="00E03969" w:rsidRPr="0019431D" w:rsidRDefault="00E03969" w:rsidP="00E0396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тис.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59"/>
        <w:gridCol w:w="1638"/>
        <w:gridCol w:w="1774"/>
        <w:gridCol w:w="2449"/>
      </w:tblGrid>
      <w:tr w:rsidR="00E03969" w:rsidTr="00D3473A">
        <w:tc>
          <w:tcPr>
            <w:tcW w:w="1951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Галузь(сектор)</w:t>
            </w:r>
          </w:p>
        </w:tc>
        <w:tc>
          <w:tcPr>
            <w:tcW w:w="1759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Граничний розподіл на 2026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638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Граничний розподіл на 2027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774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Граничний розподіл на 2028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2449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Граничний розподіл на середньостроковий період</w:t>
            </w:r>
          </w:p>
        </w:tc>
      </w:tr>
      <w:tr w:rsidR="00E03969" w:rsidTr="00D3473A">
        <w:tc>
          <w:tcPr>
            <w:tcW w:w="1951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 і наука</w:t>
            </w:r>
          </w:p>
        </w:tc>
        <w:tc>
          <w:tcPr>
            <w:tcW w:w="1759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34 753,655</w:t>
            </w:r>
          </w:p>
        </w:tc>
        <w:tc>
          <w:tcPr>
            <w:tcW w:w="1638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2 000,000</w:t>
            </w:r>
          </w:p>
        </w:tc>
        <w:tc>
          <w:tcPr>
            <w:tcW w:w="1774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</w:p>
        </w:tc>
        <w:tc>
          <w:tcPr>
            <w:tcW w:w="2449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250 223,655</w:t>
            </w:r>
          </w:p>
        </w:tc>
      </w:tr>
      <w:tr w:rsidR="00E03969" w:rsidTr="00D3473A">
        <w:tc>
          <w:tcPr>
            <w:tcW w:w="1951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здоров’я</w:t>
            </w:r>
          </w:p>
        </w:tc>
        <w:tc>
          <w:tcPr>
            <w:tcW w:w="1759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344 675,790</w:t>
            </w:r>
          </w:p>
        </w:tc>
        <w:tc>
          <w:tcPr>
            <w:tcW w:w="1638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94 675,790</w:t>
            </w:r>
          </w:p>
        </w:tc>
        <w:tc>
          <w:tcPr>
            <w:tcW w:w="1774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2449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439 351,580</w:t>
            </w:r>
          </w:p>
        </w:tc>
      </w:tr>
      <w:tr w:rsidR="00E03969" w:rsidTr="00D3473A">
        <w:tc>
          <w:tcPr>
            <w:tcW w:w="1951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сфера</w:t>
            </w:r>
          </w:p>
        </w:tc>
        <w:tc>
          <w:tcPr>
            <w:tcW w:w="1759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37 231,000</w:t>
            </w:r>
          </w:p>
        </w:tc>
        <w:tc>
          <w:tcPr>
            <w:tcW w:w="1638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38 890,700</w:t>
            </w:r>
          </w:p>
        </w:tc>
        <w:tc>
          <w:tcPr>
            <w:tcW w:w="1774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31 369,600</w:t>
            </w:r>
          </w:p>
        </w:tc>
        <w:tc>
          <w:tcPr>
            <w:tcW w:w="2449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107 491,300</w:t>
            </w:r>
          </w:p>
        </w:tc>
      </w:tr>
      <w:tr w:rsidR="00E03969" w:rsidTr="00D3473A">
        <w:tc>
          <w:tcPr>
            <w:tcW w:w="1951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Муніципальна інфраструктура та послуги</w:t>
            </w:r>
          </w:p>
        </w:tc>
        <w:tc>
          <w:tcPr>
            <w:tcW w:w="1759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212 954,008</w:t>
            </w:r>
          </w:p>
        </w:tc>
        <w:tc>
          <w:tcPr>
            <w:tcW w:w="1638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31 805,394</w:t>
            </w:r>
          </w:p>
        </w:tc>
        <w:tc>
          <w:tcPr>
            <w:tcW w:w="1774" w:type="dxa"/>
          </w:tcPr>
          <w:p w:rsidR="00E03969" w:rsidRPr="00662A25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3 795,000</w:t>
            </w:r>
          </w:p>
        </w:tc>
        <w:tc>
          <w:tcPr>
            <w:tcW w:w="2449" w:type="dxa"/>
          </w:tcPr>
          <w:p w:rsidR="00E03969" w:rsidRPr="00662A25" w:rsidRDefault="00E03969" w:rsidP="00D3473A">
            <w:pPr>
              <w:tabs>
                <w:tab w:val="left" w:pos="555"/>
                <w:tab w:val="center" w:pos="111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248 554,402</w:t>
            </w:r>
          </w:p>
        </w:tc>
      </w:tr>
      <w:tr w:rsidR="00E03969" w:rsidTr="00D3473A">
        <w:tc>
          <w:tcPr>
            <w:tcW w:w="1951" w:type="dxa"/>
          </w:tcPr>
          <w:p w:rsidR="00E03969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Довкілля</w:t>
            </w:r>
          </w:p>
        </w:tc>
        <w:tc>
          <w:tcPr>
            <w:tcW w:w="1759" w:type="dxa"/>
          </w:tcPr>
          <w:p w:rsidR="00E03969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41 717, 851</w:t>
            </w:r>
          </w:p>
        </w:tc>
        <w:tc>
          <w:tcPr>
            <w:tcW w:w="1638" w:type="dxa"/>
          </w:tcPr>
          <w:p w:rsidR="00E03969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74" w:type="dxa"/>
          </w:tcPr>
          <w:p w:rsidR="00E03969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2449" w:type="dxa"/>
          </w:tcPr>
          <w:p w:rsidR="00E03969" w:rsidRDefault="00E03969" w:rsidP="00D3473A">
            <w:pPr>
              <w:tabs>
                <w:tab w:val="left" w:pos="555"/>
                <w:tab w:val="center" w:pos="11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41 717, 851</w:t>
            </w:r>
          </w:p>
        </w:tc>
      </w:tr>
      <w:tr w:rsidR="00E03969" w:rsidTr="00D3473A">
        <w:tc>
          <w:tcPr>
            <w:tcW w:w="1951" w:type="dxa"/>
          </w:tcPr>
          <w:p w:rsidR="00E03969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</w:t>
            </w:r>
          </w:p>
        </w:tc>
        <w:tc>
          <w:tcPr>
            <w:tcW w:w="1759" w:type="dxa"/>
          </w:tcPr>
          <w:p w:rsidR="00E03969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90 900,0</w:t>
            </w:r>
          </w:p>
        </w:tc>
        <w:tc>
          <w:tcPr>
            <w:tcW w:w="1638" w:type="dxa"/>
          </w:tcPr>
          <w:p w:rsidR="00E03969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74" w:type="dxa"/>
          </w:tcPr>
          <w:p w:rsidR="00E03969" w:rsidRDefault="00E03969" w:rsidP="00D34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2449" w:type="dxa"/>
          </w:tcPr>
          <w:p w:rsidR="00E03969" w:rsidRDefault="00E03969" w:rsidP="00D3473A">
            <w:pPr>
              <w:tabs>
                <w:tab w:val="left" w:pos="555"/>
                <w:tab w:val="center" w:pos="11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90 900,0</w:t>
            </w:r>
          </w:p>
        </w:tc>
      </w:tr>
      <w:tr w:rsidR="00E03969" w:rsidTr="00D3473A">
        <w:tc>
          <w:tcPr>
            <w:tcW w:w="1951" w:type="dxa"/>
          </w:tcPr>
          <w:p w:rsidR="00E03969" w:rsidRPr="009D057A" w:rsidRDefault="00E03969" w:rsidP="00D3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05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результат</w:t>
            </w:r>
          </w:p>
        </w:tc>
        <w:tc>
          <w:tcPr>
            <w:tcW w:w="1759" w:type="dxa"/>
          </w:tcPr>
          <w:p w:rsidR="00E03969" w:rsidRPr="009D057A" w:rsidRDefault="00E03969" w:rsidP="00D3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762 232,304</w:t>
            </w:r>
          </w:p>
        </w:tc>
        <w:tc>
          <w:tcPr>
            <w:tcW w:w="1638" w:type="dxa"/>
          </w:tcPr>
          <w:p w:rsidR="00E03969" w:rsidRPr="009D057A" w:rsidRDefault="00E03969" w:rsidP="00D3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167 371,884</w:t>
            </w:r>
          </w:p>
        </w:tc>
        <w:tc>
          <w:tcPr>
            <w:tcW w:w="1774" w:type="dxa"/>
          </w:tcPr>
          <w:p w:rsidR="00E03969" w:rsidRPr="009D057A" w:rsidRDefault="00E03969" w:rsidP="00D3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05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8 634,</w:t>
            </w:r>
            <w:r w:rsidRPr="009D05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</w:t>
            </w:r>
          </w:p>
        </w:tc>
        <w:tc>
          <w:tcPr>
            <w:tcW w:w="2449" w:type="dxa"/>
          </w:tcPr>
          <w:p w:rsidR="00E03969" w:rsidRPr="009D057A" w:rsidRDefault="00E03969" w:rsidP="00D3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1 178 238,788</w:t>
            </w:r>
          </w:p>
        </w:tc>
      </w:tr>
    </w:tbl>
    <w:p w:rsidR="00E03969" w:rsidRDefault="00E03969" w:rsidP="00E03969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3969" w:rsidRDefault="00E03969" w:rsidP="00E03969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19C1">
        <w:rPr>
          <w:rFonts w:ascii="Times New Roman" w:hAnsi="Times New Roman" w:cs="Times New Roman"/>
          <w:sz w:val="28"/>
          <w:szCs w:val="28"/>
          <w:lang w:val="uk-UA"/>
        </w:rPr>
        <w:t>Підсумки та перспективи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9C1">
        <w:rPr>
          <w:rFonts w:ascii="Times New Roman" w:hAnsi="Times New Roman" w:cs="Times New Roman"/>
          <w:sz w:val="28"/>
          <w:szCs w:val="28"/>
          <w:lang w:val="uk-UA"/>
        </w:rPr>
        <w:t xml:space="preserve">Середньостроковий план є </w:t>
      </w:r>
      <w:r w:rsidRPr="00540971">
        <w:rPr>
          <w:rFonts w:ascii="Times New Roman" w:hAnsi="Times New Roman" w:cs="Times New Roman"/>
          <w:sz w:val="28"/>
          <w:szCs w:val="28"/>
          <w:lang w:val="uk-UA"/>
        </w:rPr>
        <w:t>документом місцевого рівня</w:t>
      </w:r>
      <w:r w:rsidRPr="008E19C1">
        <w:rPr>
          <w:rFonts w:ascii="Times New Roman" w:hAnsi="Times New Roman" w:cs="Times New Roman"/>
          <w:sz w:val="28"/>
          <w:szCs w:val="28"/>
          <w:lang w:val="uk-UA"/>
        </w:rPr>
        <w:t xml:space="preserve">, що формує основу для якісно нового підходу до управління публічними інвестиціями в </w:t>
      </w:r>
      <w:r>
        <w:rPr>
          <w:rFonts w:ascii="Times New Roman" w:hAnsi="Times New Roman" w:cs="Times New Roman"/>
          <w:sz w:val="28"/>
          <w:szCs w:val="28"/>
          <w:lang w:val="uk-UA"/>
        </w:rPr>
        <w:t>Новомосковській міській територіальній громаді</w:t>
      </w:r>
      <w:r w:rsidRPr="008E19C1">
        <w:rPr>
          <w:rFonts w:ascii="Times New Roman" w:hAnsi="Times New Roman" w:cs="Times New Roman"/>
          <w:sz w:val="28"/>
          <w:szCs w:val="28"/>
          <w:lang w:val="uk-UA"/>
        </w:rPr>
        <w:t xml:space="preserve">. Визначення наскрізних стратегічних цілей, узгодження з наявними стратегічними документами, продовження та завершення розпочатих проєктів і програм, а також закріплення пріоритетних галузей (секторів) і основних напрямів публічного інвестування забезпечують спрямування ресурсів на реалізацію ключових пріоритетів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>Новомосковської міської територіальної громади</w:t>
      </w:r>
      <w:r w:rsidRPr="008E19C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2C74">
        <w:rPr>
          <w:rFonts w:ascii="Times New Roman" w:hAnsi="Times New Roman" w:cs="Times New Roman"/>
          <w:sz w:val="28"/>
          <w:szCs w:val="28"/>
          <w:lang w:val="uk-UA"/>
        </w:rPr>
        <w:t xml:space="preserve">Це сприятиме ефективному використанню як попередньо вкладених, так і поточних публічних інвестицій, а також створить чітке розуміння пріоритетних сфер, що потребують державної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місцевої </w:t>
      </w:r>
      <w:r w:rsidRPr="008A2C74">
        <w:rPr>
          <w:rFonts w:ascii="Times New Roman" w:hAnsi="Times New Roman" w:cs="Times New Roman"/>
          <w:sz w:val="28"/>
          <w:szCs w:val="28"/>
          <w:lang w:val="uk-UA"/>
        </w:rPr>
        <w:t xml:space="preserve">підтримки у середньостроковому періоді. </w:t>
      </w:r>
      <w:r w:rsidRPr="004B5D46">
        <w:rPr>
          <w:rFonts w:ascii="Times New Roman" w:hAnsi="Times New Roman" w:cs="Times New Roman"/>
          <w:sz w:val="28"/>
          <w:szCs w:val="28"/>
          <w:lang w:val="uk-UA"/>
        </w:rPr>
        <w:t>Визначення напрямів публічного інвестування відповідних галузей (секторів) для публічного інвестування має ключове значення для подальшої підготовки, оцінки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4B5D46">
        <w:rPr>
          <w:rFonts w:ascii="Times New Roman" w:hAnsi="Times New Roman" w:cs="Times New Roman"/>
          <w:sz w:val="28"/>
          <w:szCs w:val="28"/>
          <w:lang w:val="uk-UA"/>
        </w:rPr>
        <w:t xml:space="preserve">ктів та програм, а також формування єдиного </w:t>
      </w:r>
      <w:proofErr w:type="spellStart"/>
      <w:r w:rsidRPr="004B5D4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4B5D46">
        <w:rPr>
          <w:rFonts w:ascii="Times New Roman" w:hAnsi="Times New Roman" w:cs="Times New Roman"/>
          <w:sz w:val="28"/>
          <w:szCs w:val="28"/>
          <w:lang w:val="uk-UA"/>
        </w:rPr>
        <w:t>ктного</w:t>
      </w:r>
      <w:proofErr w:type="spellEnd"/>
      <w:r w:rsidRPr="004B5D46">
        <w:rPr>
          <w:rFonts w:ascii="Times New Roman" w:hAnsi="Times New Roman" w:cs="Times New Roman"/>
          <w:sz w:val="28"/>
          <w:szCs w:val="28"/>
          <w:lang w:val="uk-UA"/>
        </w:rPr>
        <w:t xml:space="preserve"> портфеля публічних інвестицій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Новомосковської міської територіальної громади і </w:t>
      </w:r>
      <w:r w:rsidRPr="004B5D46">
        <w:rPr>
          <w:rFonts w:ascii="Times New Roman" w:hAnsi="Times New Roman" w:cs="Times New Roman"/>
          <w:sz w:val="28"/>
          <w:szCs w:val="28"/>
          <w:lang w:val="uk-UA"/>
        </w:rPr>
        <w:t xml:space="preserve"> галузевих (секторальних)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4B5D46">
        <w:rPr>
          <w:rFonts w:ascii="Times New Roman" w:hAnsi="Times New Roman" w:cs="Times New Roman"/>
          <w:sz w:val="28"/>
          <w:szCs w:val="28"/>
          <w:lang w:val="uk-UA"/>
        </w:rPr>
        <w:t xml:space="preserve">ктних портфелів </w:t>
      </w:r>
      <w:r>
        <w:rPr>
          <w:rFonts w:ascii="Times New Roman" w:hAnsi="Times New Roman" w:cs="Times New Roman"/>
          <w:sz w:val="28"/>
          <w:szCs w:val="28"/>
          <w:lang w:val="uk-UA"/>
        </w:rPr>
        <w:t>Новомосковської міської територіальної громади</w:t>
      </w:r>
      <w:r w:rsidRPr="004B5D4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81BF0">
        <w:rPr>
          <w:rFonts w:ascii="Times New Roman" w:hAnsi="Times New Roman" w:cs="Times New Roman"/>
          <w:sz w:val="28"/>
          <w:szCs w:val="28"/>
          <w:lang w:val="uk-UA"/>
        </w:rPr>
        <w:t>Підготовка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81BF0">
        <w:rPr>
          <w:rFonts w:ascii="Times New Roman" w:hAnsi="Times New Roman" w:cs="Times New Roman"/>
          <w:sz w:val="28"/>
          <w:szCs w:val="28"/>
          <w:lang w:val="uk-UA"/>
        </w:rPr>
        <w:t>ктів та програм передбачає обов’язкове визначення напряму публічного інвестування у відповідній галузі (секторі), з яким пов’язаний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81BF0">
        <w:rPr>
          <w:rFonts w:ascii="Times New Roman" w:hAnsi="Times New Roman" w:cs="Times New Roman"/>
          <w:sz w:val="28"/>
          <w:szCs w:val="28"/>
          <w:lang w:val="uk-UA"/>
        </w:rPr>
        <w:t>кт чи програма, а також узгодження мети та цілей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81BF0">
        <w:rPr>
          <w:rFonts w:ascii="Times New Roman" w:hAnsi="Times New Roman" w:cs="Times New Roman"/>
          <w:sz w:val="28"/>
          <w:szCs w:val="28"/>
          <w:lang w:val="uk-UA"/>
        </w:rPr>
        <w:t>кту з таким напрямом. Оцінка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81BF0">
        <w:rPr>
          <w:rFonts w:ascii="Times New Roman" w:hAnsi="Times New Roman" w:cs="Times New Roman"/>
          <w:sz w:val="28"/>
          <w:szCs w:val="28"/>
          <w:lang w:val="uk-UA"/>
        </w:rPr>
        <w:t xml:space="preserve">ктів та програм включає оцінку відповідності (скринінг), галузеву (секторальну) експертну оцінку та експертну оцінку, що передбачає аналіз ряду показників, пов’язаних із напрямами публічного інвестування відповідних галузей (секторів). 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411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інвестування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неможлива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E3411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7E3411">
        <w:rPr>
          <w:rFonts w:ascii="Times New Roman" w:hAnsi="Times New Roman" w:cs="Times New Roman"/>
          <w:sz w:val="28"/>
          <w:szCs w:val="28"/>
        </w:rPr>
        <w:t>іоритезація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(секторального)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7E3411">
        <w:rPr>
          <w:rFonts w:ascii="Times New Roman" w:hAnsi="Times New Roman" w:cs="Times New Roman"/>
          <w:sz w:val="28"/>
          <w:szCs w:val="28"/>
        </w:rPr>
        <w:t>ктного</w:t>
      </w:r>
      <w:proofErr w:type="spellEnd"/>
      <w:r w:rsidRPr="007E3411">
        <w:rPr>
          <w:rFonts w:ascii="Times New Roman" w:hAnsi="Times New Roman" w:cs="Times New Roman"/>
          <w:sz w:val="28"/>
          <w:szCs w:val="28"/>
        </w:rPr>
        <w:t xml:space="preserve"> портфеля. </w:t>
      </w:r>
    </w:p>
    <w:p w:rsidR="00E03969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1BF0">
        <w:rPr>
          <w:rFonts w:ascii="Times New Roman" w:hAnsi="Times New Roman" w:cs="Times New Roman"/>
          <w:sz w:val="28"/>
          <w:szCs w:val="28"/>
          <w:lang w:val="uk-UA"/>
        </w:rPr>
        <w:t>Пріоритезація</w:t>
      </w:r>
      <w:proofErr w:type="spellEnd"/>
      <w:r w:rsidRPr="00C81BF0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81BF0">
        <w:rPr>
          <w:rFonts w:ascii="Times New Roman" w:hAnsi="Times New Roman" w:cs="Times New Roman"/>
          <w:sz w:val="28"/>
          <w:szCs w:val="28"/>
          <w:lang w:val="uk-UA"/>
        </w:rPr>
        <w:t xml:space="preserve">ктів здійснюється в межах напряму відповідно до критеріїв </w:t>
      </w:r>
      <w:proofErr w:type="spellStart"/>
      <w:r w:rsidRPr="00C81BF0">
        <w:rPr>
          <w:rFonts w:ascii="Times New Roman" w:hAnsi="Times New Roman" w:cs="Times New Roman"/>
          <w:sz w:val="28"/>
          <w:szCs w:val="28"/>
          <w:lang w:val="uk-UA"/>
        </w:rPr>
        <w:t>пріоритезації</w:t>
      </w:r>
      <w:proofErr w:type="spellEnd"/>
      <w:r w:rsidRPr="00C81BF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1528A">
        <w:rPr>
          <w:rFonts w:ascii="Times New Roman" w:hAnsi="Times New Roman" w:cs="Times New Roman"/>
          <w:sz w:val="28"/>
          <w:szCs w:val="28"/>
          <w:lang w:val="uk-UA"/>
        </w:rPr>
        <w:t>визначених</w:t>
      </w:r>
      <w:r w:rsidRPr="00C81BF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відповідальним у відповідній галузі (секторі), та передбачає розрахунок пріоритетності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81BF0">
        <w:rPr>
          <w:rFonts w:ascii="Times New Roman" w:hAnsi="Times New Roman" w:cs="Times New Roman"/>
          <w:sz w:val="28"/>
          <w:szCs w:val="28"/>
          <w:lang w:val="uk-UA"/>
        </w:rPr>
        <w:t>ктів за бальною системою з метою формування рейтингових списків таких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81BF0">
        <w:rPr>
          <w:rFonts w:ascii="Times New Roman" w:hAnsi="Times New Roman" w:cs="Times New Roman"/>
          <w:sz w:val="28"/>
          <w:szCs w:val="28"/>
          <w:lang w:val="uk-UA"/>
        </w:rPr>
        <w:t xml:space="preserve">ктів за кожним напрямом публічного інвестування. </w:t>
      </w:r>
    </w:p>
    <w:p w:rsidR="00E03969" w:rsidRPr="00A712D0" w:rsidRDefault="00E03969" w:rsidP="00E039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2D0">
        <w:rPr>
          <w:rFonts w:ascii="Times New Roman" w:hAnsi="Times New Roman" w:cs="Times New Roman"/>
          <w:sz w:val="28"/>
          <w:szCs w:val="28"/>
          <w:lang w:val="uk-UA"/>
        </w:rPr>
        <w:t>В подальшому лише ті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712D0">
        <w:rPr>
          <w:rFonts w:ascii="Times New Roman" w:hAnsi="Times New Roman" w:cs="Times New Roman"/>
          <w:sz w:val="28"/>
          <w:szCs w:val="28"/>
          <w:lang w:val="uk-UA"/>
        </w:rPr>
        <w:t xml:space="preserve">кти та програми, що включені до галузевого (секторального) </w:t>
      </w:r>
      <w:proofErr w:type="spellStart"/>
      <w:r w:rsidRPr="00A712D0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712D0">
        <w:rPr>
          <w:rFonts w:ascii="Times New Roman" w:hAnsi="Times New Roman" w:cs="Times New Roman"/>
          <w:sz w:val="28"/>
          <w:szCs w:val="28"/>
          <w:lang w:val="uk-UA"/>
        </w:rPr>
        <w:t>ктного</w:t>
      </w:r>
      <w:proofErr w:type="spellEnd"/>
      <w:r w:rsidRPr="00A712D0">
        <w:rPr>
          <w:rFonts w:ascii="Times New Roman" w:hAnsi="Times New Roman" w:cs="Times New Roman"/>
          <w:sz w:val="28"/>
          <w:szCs w:val="28"/>
          <w:lang w:val="uk-UA"/>
        </w:rPr>
        <w:t xml:space="preserve"> портфеля та відповідають основним напрямам публічного інвестування, визначеним в Додатку 1 до середньострокового плану, можуть бути включені в Єдиний </w:t>
      </w:r>
      <w:proofErr w:type="spellStart"/>
      <w:r w:rsidRPr="00A712D0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712D0">
        <w:rPr>
          <w:rFonts w:ascii="Times New Roman" w:hAnsi="Times New Roman" w:cs="Times New Roman"/>
          <w:sz w:val="28"/>
          <w:szCs w:val="28"/>
          <w:lang w:val="uk-UA"/>
        </w:rPr>
        <w:t>ктний</w:t>
      </w:r>
      <w:proofErr w:type="spellEnd"/>
      <w:r w:rsidRPr="00A712D0">
        <w:rPr>
          <w:rFonts w:ascii="Times New Roman" w:hAnsi="Times New Roman" w:cs="Times New Roman"/>
          <w:sz w:val="28"/>
          <w:szCs w:val="28"/>
          <w:lang w:val="uk-UA"/>
        </w:rPr>
        <w:t xml:space="preserve"> портфель публічних інвестицій </w:t>
      </w:r>
      <w:r>
        <w:rPr>
          <w:rFonts w:ascii="Times New Roman" w:hAnsi="Times New Roman" w:cs="Times New Roman"/>
          <w:sz w:val="28"/>
          <w:szCs w:val="28"/>
          <w:lang w:val="uk-UA"/>
        </w:rPr>
        <w:t>Новомосковської міської територіальної громади</w:t>
      </w:r>
      <w:r w:rsidRPr="00A712D0">
        <w:rPr>
          <w:rFonts w:ascii="Times New Roman" w:hAnsi="Times New Roman" w:cs="Times New Roman"/>
          <w:sz w:val="28"/>
          <w:szCs w:val="28"/>
          <w:lang w:val="uk-UA"/>
        </w:rPr>
        <w:t xml:space="preserve"> та, відповідно, зможуть отримати фінансування за рахунок коштів державного</w:t>
      </w:r>
      <w:r>
        <w:rPr>
          <w:rFonts w:ascii="Times New Roman" w:hAnsi="Times New Roman" w:cs="Times New Roman"/>
          <w:sz w:val="28"/>
          <w:szCs w:val="28"/>
          <w:lang w:val="uk-UA"/>
        </w:rPr>
        <w:t>, місцевого, обласного</w:t>
      </w:r>
      <w:r w:rsidRPr="00A712D0">
        <w:rPr>
          <w:rFonts w:ascii="Times New Roman" w:hAnsi="Times New Roman" w:cs="Times New Roman"/>
          <w:sz w:val="28"/>
          <w:szCs w:val="28"/>
          <w:lang w:val="uk-UA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A712D0">
        <w:rPr>
          <w:rFonts w:ascii="Times New Roman" w:hAnsi="Times New Roman" w:cs="Times New Roman"/>
          <w:sz w:val="28"/>
          <w:szCs w:val="28"/>
          <w:lang w:val="uk-UA"/>
        </w:rPr>
        <w:t xml:space="preserve"> та/або з наданням державної підтримки.</w:t>
      </w:r>
    </w:p>
    <w:p w:rsidR="00E03969" w:rsidRDefault="00E03969" w:rsidP="00E03969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3969" w:rsidRDefault="00E03969" w:rsidP="00E03969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3969" w:rsidRDefault="00E03969" w:rsidP="00E03969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3969" w:rsidRPr="00D63BDF" w:rsidRDefault="00E03969" w:rsidP="00E03969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3BDF">
        <w:rPr>
          <w:rFonts w:ascii="Times New Roman" w:hAnsi="Times New Roman" w:cs="Times New Roman"/>
          <w:sz w:val="28"/>
          <w:szCs w:val="28"/>
        </w:rPr>
        <w:t>Керуючий</w:t>
      </w:r>
      <w:proofErr w:type="spellEnd"/>
      <w:r w:rsidRPr="00D63BDF">
        <w:rPr>
          <w:rFonts w:ascii="Times New Roman" w:hAnsi="Times New Roman" w:cs="Times New Roman"/>
          <w:sz w:val="28"/>
          <w:szCs w:val="28"/>
        </w:rPr>
        <w:t xml:space="preserve"> справами</w:t>
      </w:r>
      <w:r w:rsidRPr="00D63BDF">
        <w:rPr>
          <w:rFonts w:ascii="Times New Roman" w:hAnsi="Times New Roman" w:cs="Times New Roman"/>
          <w:sz w:val="28"/>
          <w:szCs w:val="28"/>
        </w:rPr>
        <w:tab/>
      </w:r>
      <w:r w:rsidRPr="00D63BDF">
        <w:rPr>
          <w:rFonts w:ascii="Times New Roman" w:hAnsi="Times New Roman" w:cs="Times New Roman"/>
          <w:sz w:val="28"/>
          <w:szCs w:val="28"/>
        </w:rPr>
        <w:tab/>
      </w:r>
      <w:r w:rsidRPr="00D63BDF">
        <w:rPr>
          <w:rFonts w:ascii="Times New Roman" w:hAnsi="Times New Roman" w:cs="Times New Roman"/>
          <w:sz w:val="28"/>
          <w:szCs w:val="28"/>
        </w:rPr>
        <w:tab/>
      </w:r>
      <w:r w:rsidRPr="00D63BDF">
        <w:rPr>
          <w:rFonts w:ascii="Times New Roman" w:hAnsi="Times New Roman" w:cs="Times New Roman"/>
          <w:sz w:val="28"/>
          <w:szCs w:val="28"/>
        </w:rPr>
        <w:tab/>
      </w:r>
      <w:r w:rsidRPr="00D63BDF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63BD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D63BDF">
        <w:rPr>
          <w:rFonts w:ascii="Times New Roman" w:hAnsi="Times New Roman" w:cs="Times New Roman"/>
          <w:sz w:val="28"/>
          <w:szCs w:val="28"/>
        </w:rPr>
        <w:t>Яків</w:t>
      </w:r>
      <w:proofErr w:type="spellEnd"/>
      <w:r w:rsidRPr="00D63BDF">
        <w:rPr>
          <w:rFonts w:ascii="Times New Roman" w:hAnsi="Times New Roman" w:cs="Times New Roman"/>
          <w:sz w:val="28"/>
          <w:szCs w:val="28"/>
        </w:rPr>
        <w:t xml:space="preserve"> КЛИМЕНОВ</w:t>
      </w:r>
    </w:p>
    <w:p w:rsidR="00E03969" w:rsidRDefault="00E03969" w:rsidP="00E0396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ачальника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економіки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E03969" w:rsidRDefault="00E03969" w:rsidP="00E03969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транспорту та </w:t>
      </w:r>
      <w:proofErr w:type="spellStart"/>
      <w:r>
        <w:rPr>
          <w:rFonts w:ascii="Times New Roman" w:hAnsi="Times New Roman"/>
          <w:sz w:val="28"/>
          <w:szCs w:val="28"/>
        </w:rPr>
        <w:t>торгі</w:t>
      </w:r>
      <w:proofErr w:type="gramStart"/>
      <w:r>
        <w:rPr>
          <w:rFonts w:ascii="Times New Roman" w:hAnsi="Times New Roman"/>
          <w:sz w:val="28"/>
          <w:szCs w:val="28"/>
        </w:rPr>
        <w:t>вл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03969" w:rsidRPr="00D63BDF" w:rsidRDefault="00E03969" w:rsidP="00E039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Самарівської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Ольга ОЛЕНІНА</w:t>
      </w:r>
    </w:p>
    <w:p w:rsidR="00CE16CA" w:rsidRPr="00E03969" w:rsidRDefault="00CE16CA">
      <w:pPr>
        <w:rPr>
          <w:lang w:val="uk-UA"/>
        </w:rPr>
      </w:pPr>
    </w:p>
    <w:sectPr w:rsidR="00CE16CA" w:rsidRPr="00E03969" w:rsidSect="002B10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F2"/>
    <w:rsid w:val="00B564F2"/>
    <w:rsid w:val="00CE16CA"/>
    <w:rsid w:val="00E0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E03969"/>
  </w:style>
  <w:style w:type="character" w:customStyle="1" w:styleId="rvts37">
    <w:name w:val="rvts37"/>
    <w:basedOn w:val="a0"/>
    <w:rsid w:val="00E03969"/>
  </w:style>
  <w:style w:type="paragraph" w:styleId="a4">
    <w:name w:val="List Paragraph"/>
    <w:basedOn w:val="a"/>
    <w:uiPriority w:val="34"/>
    <w:qFormat/>
    <w:rsid w:val="00E03969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Bodytext2">
    <w:name w:val="Body text (2)"/>
    <w:basedOn w:val="a0"/>
    <w:rsid w:val="00E039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E3C3E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5">
    <w:name w:val="No Spacing"/>
    <w:uiPriority w:val="1"/>
    <w:qFormat/>
    <w:rsid w:val="00E039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E03969"/>
  </w:style>
  <w:style w:type="character" w:customStyle="1" w:styleId="rvts37">
    <w:name w:val="rvts37"/>
    <w:basedOn w:val="a0"/>
    <w:rsid w:val="00E03969"/>
  </w:style>
  <w:style w:type="paragraph" w:styleId="a4">
    <w:name w:val="List Paragraph"/>
    <w:basedOn w:val="a"/>
    <w:uiPriority w:val="34"/>
    <w:qFormat/>
    <w:rsid w:val="00E03969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Bodytext2">
    <w:name w:val="Body text (2)"/>
    <w:basedOn w:val="a0"/>
    <w:rsid w:val="00E039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E3C3E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5">
    <w:name w:val="No Spacing"/>
    <w:uiPriority w:val="1"/>
    <w:qFormat/>
    <w:rsid w:val="00E039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2483</Words>
  <Characters>14156</Characters>
  <Application>Microsoft Office Word</Application>
  <DocSecurity>0</DocSecurity>
  <Lines>117</Lines>
  <Paragraphs>33</Paragraphs>
  <ScaleCrop>false</ScaleCrop>
  <Company/>
  <LinksUpToDate>false</LinksUpToDate>
  <CharactersWithSpaces>16606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2025-10-20T12:49:00Z</dcterms:created>
  <dcterms:modified xsi:type="dcterms:W3CDTF">2025-10-20T12:52:00Z</dcterms:modified>
</cp:coreProperties>
</file>